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ED19B" w14:textId="0D4C7F71" w:rsidR="0083304A" w:rsidRDefault="00855FF1" w:rsidP="00855FF1">
      <w:pPr>
        <w:pStyle w:val="berschrift1"/>
      </w:pPr>
      <w:proofErr w:type="spellStart"/>
      <w:r>
        <w:t>Architekurmuster</w:t>
      </w:r>
      <w:proofErr w:type="spellEnd"/>
    </w:p>
    <w:p w14:paraId="31ACFAC6" w14:textId="5D0E6195" w:rsidR="00855FF1" w:rsidRDefault="00855FF1" w:rsidP="00855FF1">
      <w:pPr>
        <w:pStyle w:val="berschrift2"/>
      </w:pPr>
      <w:r w:rsidRPr="00855FF1">
        <w:t>Schichten (Layer) (R1)</w:t>
      </w:r>
    </w:p>
    <w:p w14:paraId="35A20C88" w14:textId="31AA2918" w:rsidR="00495E2A" w:rsidRDefault="00495E2A" w:rsidP="00495E2A">
      <w:r>
        <w:t>Schichten (</w:t>
      </w:r>
      <w:proofErr w:type="spellStart"/>
      <w:r>
        <w:t>Layers</w:t>
      </w:r>
      <w:proofErr w:type="spellEnd"/>
      <w:r>
        <w:t>, Tiers) zerlegen Systeme in Benutzungshierarchien. Jede Schicht bietet dabei den darüberliegenden Schichten Dienste an und verwendet ihrerseits Dienste der darunterliegenden Schichten.</w:t>
      </w:r>
    </w:p>
    <w:p w14:paraId="15CD274C" w14:textId="77777777" w:rsidR="00495E2A" w:rsidRDefault="00495E2A" w:rsidP="00495E2A"/>
    <w:p w14:paraId="658599B0" w14:textId="7A0509DA" w:rsidR="00495E2A" w:rsidRDefault="00495E2A" w:rsidP="00495E2A">
      <w:r>
        <w:t>Viele moderne Entwicklungsframeworks basieren auf Schichtenmodellen (u. a. Java-Enterprise, Microsoft.NET). Intensive Anwendung finden Schichten auch im domänenzentrierten Design nach [Evans</w:t>
      </w:r>
    </w:p>
    <w:p w14:paraId="5165F3F1" w14:textId="77777777" w:rsidR="00495E2A" w:rsidRDefault="00495E2A" w:rsidP="00495E2A">
      <w:r>
        <w:t>03], dessen Vorschlag für die wesentlichen vier Schichten Sie in der</w:t>
      </w:r>
    </w:p>
    <w:p w14:paraId="4F4C39D2" w14:textId="77777777" w:rsidR="00495E2A" w:rsidRDefault="00495E2A" w:rsidP="00495E2A">
      <w:r>
        <w:t>folgenden Abbildung sehen.</w:t>
      </w:r>
    </w:p>
    <w:p w14:paraId="7DE233E8" w14:textId="77777777" w:rsidR="00495E2A" w:rsidRDefault="00495E2A" w:rsidP="00495E2A"/>
    <w:p w14:paraId="46A5772F" w14:textId="36977763" w:rsidR="00495E2A" w:rsidRDefault="00495E2A" w:rsidP="00495E2A">
      <w:r>
        <w:t xml:space="preserve">Interaktive Informationssysteme basieren sehr häufig auf diesem Modell. Es ermöglicht eine saubere Trennung zwischen Fachlichkeit und Technik, bei der eine einzige Schicht (der </w:t>
      </w:r>
      <w:r>
        <w:rPr>
          <w:rFonts w:ascii="LucidaStd-Italic" w:hAnsi="LucidaStd-Italic" w:cs="LucidaStd-Italic"/>
          <w:i/>
          <w:iCs/>
        </w:rPr>
        <w:t xml:space="preserve">Domain Layer </w:t>
      </w:r>
      <w:r>
        <w:t>) sämtliche</w:t>
      </w:r>
    </w:p>
    <w:p w14:paraId="0BC27AA2" w14:textId="6BCBECE6" w:rsidR="00316152" w:rsidRDefault="00495E2A" w:rsidP="00495E2A">
      <w:r>
        <w:t>fachlichen Bestandteile zusammenfasst.</w:t>
      </w:r>
    </w:p>
    <w:p w14:paraId="094C2EE4" w14:textId="77777777" w:rsidR="00495E2A" w:rsidRPr="00316152" w:rsidRDefault="00495E2A" w:rsidP="00495E2A"/>
    <w:p w14:paraId="095C0FE9" w14:textId="44C0797F" w:rsidR="00316152" w:rsidRDefault="00316152" w:rsidP="00316152">
      <w:pPr>
        <w:pStyle w:val="Grundtext"/>
      </w:pPr>
      <w:r>
        <w:rPr>
          <w:noProof/>
        </w:rPr>
        <w:drawing>
          <wp:inline distT="0" distB="0" distL="0" distR="0" wp14:anchorId="1804ACBD" wp14:editId="06639519">
            <wp:extent cx="4076700" cy="40290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76700" cy="4029075"/>
                    </a:xfrm>
                    <a:prstGeom prst="rect">
                      <a:avLst/>
                    </a:prstGeom>
                  </pic:spPr>
                </pic:pic>
              </a:graphicData>
            </a:graphic>
          </wp:inline>
        </w:drawing>
      </w:r>
    </w:p>
    <w:p w14:paraId="2701D3AE" w14:textId="15E7FD85" w:rsidR="00495E2A" w:rsidRDefault="00495E2A" w:rsidP="00316152">
      <w:pPr>
        <w:pStyle w:val="Grundtext"/>
      </w:pPr>
      <w:r>
        <w:t>Quelle: Architekturmuster kompakt von Gernot Starke</w:t>
      </w:r>
    </w:p>
    <w:p w14:paraId="7FF59115" w14:textId="4F63D2A0" w:rsidR="00495E2A" w:rsidRPr="00316152" w:rsidRDefault="00495E2A" w:rsidP="00495E2A">
      <w:r>
        <w:t>Eigene Bemerkung: Ich kenne die Schichtenarchitektur in einer strengeren Variante. Eine Schicht ruft immer nur die direkt unterliegende Schicht auf. In dieser Version muss die Schicht User Interface, alle Unterschichten kennen. Dies erschwert die Austauschbarkeit einzelner Schichten, hat aber einen Vorteil in der Performance.</w:t>
      </w:r>
    </w:p>
    <w:p w14:paraId="541D4243" w14:textId="24252057" w:rsidR="00855FF1" w:rsidRDefault="00855FF1" w:rsidP="00855FF1">
      <w:pPr>
        <w:pStyle w:val="berschrift2"/>
      </w:pPr>
      <w:r w:rsidRPr="00855FF1">
        <w:lastRenderedPageBreak/>
        <w:t>Pipes und Filter (R1)</w:t>
      </w:r>
    </w:p>
    <w:p w14:paraId="1DBA8EC2" w14:textId="64BB4598" w:rsidR="00F32AB5" w:rsidRPr="008A785A" w:rsidRDefault="00F32AB5" w:rsidP="008A785A">
      <w:pPr>
        <w:autoSpaceDE w:val="0"/>
        <w:autoSpaceDN w:val="0"/>
        <w:adjustRightInd w:val="0"/>
        <w:rPr>
          <w:rFonts w:ascii="LucidaStd" w:hAnsi="LucidaStd" w:cs="LucidaStd"/>
          <w:sz w:val="17"/>
          <w:szCs w:val="17"/>
        </w:rPr>
      </w:pPr>
      <w:r>
        <w:rPr>
          <w:rFonts w:ascii="LucidaStd" w:hAnsi="LucidaStd" w:cs="LucidaStd"/>
          <w:sz w:val="17"/>
          <w:szCs w:val="17"/>
        </w:rPr>
        <w:t>Bausteine nehmen an Eingangsschnittstellen fortlaufend Daten entgegen,</w:t>
      </w:r>
      <w:r w:rsidR="008A785A">
        <w:rPr>
          <w:rFonts w:ascii="LucidaStd" w:hAnsi="LucidaStd" w:cs="LucidaStd"/>
          <w:sz w:val="17"/>
          <w:szCs w:val="17"/>
        </w:rPr>
        <w:t xml:space="preserve"> </w:t>
      </w:r>
      <w:r>
        <w:t xml:space="preserve">wenden darauf – gemäß ihrem Verwendungszweck – eine Funktionalität an und übergeben die derart transformierten Daten ihrer Ausgangsschnittstelle. Solche Bausteine heißen </w:t>
      </w:r>
      <w:r>
        <w:rPr>
          <w:rFonts w:ascii="LucidaStd-Italic" w:hAnsi="LucidaStd-Italic" w:cs="LucidaStd-Italic"/>
          <w:i/>
          <w:iCs/>
        </w:rPr>
        <w:t xml:space="preserve">Filter </w:t>
      </w:r>
      <w:r>
        <w:t>, und die</w:t>
      </w:r>
    </w:p>
    <w:p w14:paraId="1903719C" w14:textId="1B030B87" w:rsidR="00F32AB5" w:rsidRDefault="00F32AB5" w:rsidP="00F32AB5">
      <w:pPr>
        <w:rPr>
          <w:rFonts w:ascii="LucidaSans-Bold" w:hAnsi="LucidaSans-Bold" w:cs="LucidaSans-Bold"/>
          <w:b/>
          <w:bCs/>
        </w:rPr>
      </w:pPr>
    </w:p>
    <w:p w14:paraId="665731F7" w14:textId="3B5AC0C9" w:rsidR="00F32AB5" w:rsidRDefault="00F32AB5" w:rsidP="00F32AB5">
      <w:r>
        <w:t xml:space="preserve">Übertragungskanäle zwischen Filtern nennt man </w:t>
      </w:r>
      <w:r>
        <w:rPr>
          <w:rFonts w:ascii="LucidaStd-Italic" w:hAnsi="LucidaStd-Italic" w:cs="LucidaStd-Italic"/>
          <w:i/>
          <w:iCs/>
        </w:rPr>
        <w:t xml:space="preserve">Pipes </w:t>
      </w:r>
      <w:r>
        <w:t>. Filter arbeiten komplett eigenständig, ohne mit anderen Filtern irgendwelchen Verarbeitungszustand auszutauschen. Sie kennen die vor und nach</w:t>
      </w:r>
    </w:p>
    <w:p w14:paraId="3A24AE8B" w14:textId="77777777" w:rsidR="00F32AB5" w:rsidRDefault="00F32AB5" w:rsidP="00F32AB5">
      <w:r>
        <w:t>ihnen arbeitenden Filter nicht.</w:t>
      </w:r>
    </w:p>
    <w:p w14:paraId="3F56676C" w14:textId="3771F2AB" w:rsidR="00F32AB5" w:rsidRPr="00F32AB5" w:rsidRDefault="00F32AB5" w:rsidP="00F32AB5">
      <w:pPr>
        <w:autoSpaceDE w:val="0"/>
        <w:autoSpaceDN w:val="0"/>
        <w:adjustRightInd w:val="0"/>
        <w:rPr>
          <w:rFonts w:ascii="LucidaStd" w:hAnsi="LucidaStd" w:cs="LucidaStd"/>
          <w:sz w:val="17"/>
          <w:szCs w:val="17"/>
        </w:rPr>
      </w:pPr>
    </w:p>
    <w:p w14:paraId="3F3FCB04" w14:textId="64B1389E" w:rsidR="00E9768D" w:rsidRDefault="00E9768D" w:rsidP="00F32AB5">
      <w:r>
        <w:t>Das Pipes and Filter Muster besteht i.a. aus 4 verschiedenen Arten von Klassen:</w:t>
      </w:r>
    </w:p>
    <w:p w14:paraId="7DD5FD6E" w14:textId="62A58385" w:rsidR="00E9768D" w:rsidRDefault="00E9768D" w:rsidP="00F32AB5">
      <w:pPr>
        <w:pStyle w:val="Listenabsatz"/>
        <w:numPr>
          <w:ilvl w:val="0"/>
          <w:numId w:val="30"/>
        </w:numPr>
      </w:pPr>
      <w:r>
        <w:t>Datenquelle (englisch Data Source)</w:t>
      </w:r>
    </w:p>
    <w:p w14:paraId="02B361DB" w14:textId="2C25F679" w:rsidR="00E9768D" w:rsidRDefault="00E9768D" w:rsidP="00F32AB5">
      <w:pPr>
        <w:pStyle w:val="Listenabsatz"/>
        <w:numPr>
          <w:ilvl w:val="0"/>
          <w:numId w:val="30"/>
        </w:numPr>
      </w:pPr>
      <w:r>
        <w:t>Datensenke (englisch Data Sink)</w:t>
      </w:r>
    </w:p>
    <w:p w14:paraId="476D433E" w14:textId="487C7D90" w:rsidR="00E9768D" w:rsidRDefault="00E9768D" w:rsidP="00F32AB5">
      <w:pPr>
        <w:pStyle w:val="Listenabsatz"/>
        <w:numPr>
          <w:ilvl w:val="0"/>
          <w:numId w:val="30"/>
        </w:numPr>
      </w:pPr>
      <w:r>
        <w:t>Filter</w:t>
      </w:r>
    </w:p>
    <w:p w14:paraId="6AE9E3E3" w14:textId="3DF32AD8" w:rsidR="00E9768D" w:rsidRDefault="00E9768D" w:rsidP="00F32AB5">
      <w:pPr>
        <w:pStyle w:val="Listenabsatz"/>
        <w:numPr>
          <w:ilvl w:val="0"/>
          <w:numId w:val="30"/>
        </w:numPr>
      </w:pPr>
      <w:r>
        <w:t>Pipe</w:t>
      </w:r>
    </w:p>
    <w:p w14:paraId="34BF6E8C" w14:textId="4458C56D" w:rsidR="00F32AB5" w:rsidRDefault="00F32AB5" w:rsidP="00F32AB5">
      <w:pPr>
        <w:rPr>
          <w:b/>
          <w:bCs/>
        </w:rPr>
      </w:pPr>
      <w:r w:rsidRPr="00F32AB5">
        <w:rPr>
          <w:b/>
          <w:bCs/>
        </w:rPr>
        <w:t>Verantwortung eines Filters</w:t>
      </w:r>
    </w:p>
    <w:p w14:paraId="1C9AB580" w14:textId="77777777" w:rsidR="00F32AB5" w:rsidRPr="00F32AB5" w:rsidRDefault="00F32AB5" w:rsidP="00F32AB5">
      <w:pPr>
        <w:rPr>
          <w:b/>
          <w:bCs/>
        </w:rPr>
      </w:pPr>
    </w:p>
    <w:p w14:paraId="0F1308F8" w14:textId="5C4DF2D9" w:rsidR="00E9768D" w:rsidRDefault="00F32AB5" w:rsidP="00F32AB5">
      <w:r>
        <w:t>Ein Filter erhält Daten von einer Pipe, bearbeitet diese Daten und gibt die bearbeiteten Daten wieder.</w:t>
      </w:r>
    </w:p>
    <w:p w14:paraId="356A5E2D" w14:textId="77777777" w:rsidR="008D2B86" w:rsidRDefault="008D2B86" w:rsidP="00F32AB5"/>
    <w:p w14:paraId="637C4789" w14:textId="4CABBB0A" w:rsidR="00F32AB5" w:rsidRDefault="00F32AB5" w:rsidP="00F32AB5">
      <w:pPr>
        <w:rPr>
          <w:b/>
          <w:bCs/>
        </w:rPr>
      </w:pPr>
      <w:r w:rsidRPr="00F32AB5">
        <w:rPr>
          <w:b/>
          <w:bCs/>
        </w:rPr>
        <w:t>Verantwortung einer Pipe</w:t>
      </w:r>
    </w:p>
    <w:p w14:paraId="73334E8A" w14:textId="1258F128" w:rsidR="008D2B86" w:rsidRDefault="008D2B86" w:rsidP="00F32AB5">
      <w:pPr>
        <w:rPr>
          <w:b/>
          <w:bCs/>
        </w:rPr>
      </w:pPr>
    </w:p>
    <w:p w14:paraId="79284A18" w14:textId="35B50F36" w:rsidR="008D2B86" w:rsidRPr="008D2B86" w:rsidRDefault="008D2B86" w:rsidP="00F32AB5">
      <w:r>
        <w:t>Eine Pipe erhält Daten von der Datenquelle oder vom vorherigen Filter, und transportiert diese Daten zum nächsten Filter, oder zur Datensenke. Die Aufgabe sind Daten zu transportieren, diese ggf. zu puffern und 2 Nachbarn zu synchronisieren.</w:t>
      </w:r>
    </w:p>
    <w:p w14:paraId="25A0179C" w14:textId="77777777" w:rsidR="00E9768D" w:rsidRDefault="00E9768D" w:rsidP="00E9768D">
      <w:pPr>
        <w:pStyle w:val="Grundtext"/>
        <w:keepNext/>
      </w:pPr>
      <w:r>
        <w:rPr>
          <w:noProof/>
        </w:rPr>
        <w:drawing>
          <wp:inline distT="0" distB="0" distL="0" distR="0" wp14:anchorId="46A6EDDB" wp14:editId="2A3729FD">
            <wp:extent cx="5400675" cy="2682240"/>
            <wp:effectExtent l="0" t="0" r="952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675" cy="2682240"/>
                    </a:xfrm>
                    <a:prstGeom prst="rect">
                      <a:avLst/>
                    </a:prstGeom>
                  </pic:spPr>
                </pic:pic>
              </a:graphicData>
            </a:graphic>
          </wp:inline>
        </w:drawing>
      </w:r>
    </w:p>
    <w:p w14:paraId="415F8F80" w14:textId="5A982804" w:rsidR="00495E2A" w:rsidRPr="00495E2A" w:rsidRDefault="00E9768D" w:rsidP="00E9768D">
      <w:pPr>
        <w:pStyle w:val="Beschriftung"/>
        <w:jc w:val="both"/>
      </w:pPr>
      <w:r>
        <w:t xml:space="preserve">Abbildung </w:t>
      </w:r>
      <w:fldSimple w:instr=" SEQ Abbildung \* ARABIC ">
        <w:r w:rsidR="00984890">
          <w:rPr>
            <w:noProof/>
          </w:rPr>
          <w:t>1</w:t>
        </w:r>
      </w:fldSimple>
      <w:r>
        <w:t xml:space="preserve"> Zusammenspiel zwischen Pipes und Filter</w:t>
      </w:r>
    </w:p>
    <w:p w14:paraId="0183F75C" w14:textId="49A4C279" w:rsidR="00855FF1" w:rsidRDefault="00855FF1" w:rsidP="00855FF1">
      <w:pPr>
        <w:pStyle w:val="berschrift2"/>
      </w:pPr>
      <w:r w:rsidRPr="00855FF1">
        <w:t>Client/Server (R1)</w:t>
      </w:r>
    </w:p>
    <w:p w14:paraId="50C58335" w14:textId="57D26005" w:rsidR="003E46C5" w:rsidRDefault="003E46C5" w:rsidP="00F32AB5">
      <w:r>
        <w:t>Client Server Systeme bestehen aus mindestens zwei unabhängigen, miteinander kommunizierenden Prozessen:</w:t>
      </w:r>
    </w:p>
    <w:p w14:paraId="3CBA869E" w14:textId="4247159D" w:rsidR="003E46C5" w:rsidRDefault="003E46C5" w:rsidP="00F32AB5">
      <w:r>
        <w:t>Clients benötigen bestimmte Dienste oder Services, die sie bei einem bekannten Server erfragen.</w:t>
      </w:r>
    </w:p>
    <w:p w14:paraId="3C150FE3" w14:textId="5AFD0154" w:rsidR="003E46C5" w:rsidRDefault="003E46C5" w:rsidP="00F32AB5">
      <w:r>
        <w:t>Server stellen Clients bestimmte Dienste bereit. Auf entsprechenden Anfragen hin erfüllen sie diese Aufgaben und schicken über das jeweilige Netzwerk die Ergebnisse an den aufrufenden Client zurück.</w:t>
      </w:r>
    </w:p>
    <w:p w14:paraId="3728CB7B" w14:textId="50020E01" w:rsidR="003E46C5" w:rsidRDefault="003E46C5" w:rsidP="00F32AB5">
      <w:r>
        <w:t>Die Kommunikation zwischen Client und Server erfolgt synchron – ansonsten klassifiziert man diese Systeme als ereignis- oder nachrichtenbasiert.</w:t>
      </w:r>
    </w:p>
    <w:p w14:paraId="79E01886" w14:textId="77777777" w:rsidR="00F32AB5" w:rsidRDefault="00F32AB5" w:rsidP="00F32AB5"/>
    <w:p w14:paraId="362B3E94" w14:textId="2633A87C" w:rsidR="003E46C5" w:rsidRPr="003E46C5" w:rsidRDefault="003E46C5" w:rsidP="00F32AB5">
      <w:r>
        <w:t>Quelle: Effektive Softwarearchitekturen 8. Auflage Kapitel 4.5.4.1</w:t>
      </w:r>
    </w:p>
    <w:p w14:paraId="3EB530EE" w14:textId="3AE1ED0F" w:rsidR="00855FF1" w:rsidRDefault="00855FF1" w:rsidP="00855FF1">
      <w:pPr>
        <w:pStyle w:val="berschrift2"/>
      </w:pPr>
      <w:r w:rsidRPr="00855FF1">
        <w:t xml:space="preserve">Adapter und </w:t>
      </w:r>
      <w:proofErr w:type="spellStart"/>
      <w:r w:rsidRPr="00855FF1">
        <w:t>Facade</w:t>
      </w:r>
      <w:proofErr w:type="spellEnd"/>
      <w:r w:rsidRPr="00855FF1">
        <w:t xml:space="preserve"> (R1)</w:t>
      </w:r>
    </w:p>
    <w:p w14:paraId="5B6940C2" w14:textId="4315FB2D" w:rsidR="006E24D0" w:rsidRDefault="006E24D0" w:rsidP="006E24D0">
      <w:pPr>
        <w:autoSpaceDE w:val="0"/>
        <w:autoSpaceDN w:val="0"/>
        <w:adjustRightInd w:val="0"/>
        <w:rPr>
          <w:rFonts w:ascii="SabonLTStd-Roman" w:hAnsi="SabonLTStd-Roman" w:cs="SabonLTStd-Roman"/>
        </w:rPr>
      </w:pPr>
      <w:r>
        <w:rPr>
          <w:rFonts w:ascii="SabonLTStd-Roman" w:hAnsi="SabonLTStd-Roman" w:cs="SabonLTStd-Roman"/>
        </w:rPr>
        <w:t>Wenn Sie ein bereits existierendes Modul verwenden wollen, dessen Schnittstelle allerdings inkompatibel zu ihrer benötigten Schnittstelle ist, kann das Adapter-Muster helfen.</w:t>
      </w:r>
    </w:p>
    <w:p w14:paraId="6FE63B13" w14:textId="77777777" w:rsidR="006E24D0" w:rsidRDefault="006E24D0" w:rsidP="006E24D0">
      <w:pPr>
        <w:autoSpaceDE w:val="0"/>
        <w:autoSpaceDN w:val="0"/>
        <w:adjustRightInd w:val="0"/>
        <w:rPr>
          <w:rFonts w:ascii="SabonLTStd-Roman" w:hAnsi="SabonLTStd-Roman" w:cs="SabonLTStd-Roman"/>
        </w:rPr>
      </w:pPr>
      <w:r>
        <w:rPr>
          <w:rFonts w:ascii="SabonLTStd-Roman" w:hAnsi="SabonLTStd-Roman" w:cs="SabonLTStd-Roman"/>
        </w:rPr>
        <w:t>Der Adapter, auch bekannt als Wrapper, stammt vom englischen »</w:t>
      </w:r>
      <w:proofErr w:type="spellStart"/>
      <w:r>
        <w:rPr>
          <w:rFonts w:ascii="SabonLTStd-Roman" w:hAnsi="SabonLTStd-Roman" w:cs="SabonLTStd-Roman"/>
        </w:rPr>
        <w:t>to</w:t>
      </w:r>
      <w:proofErr w:type="spellEnd"/>
      <w:r>
        <w:rPr>
          <w:rFonts w:ascii="SabonLTStd-Roman" w:hAnsi="SabonLTStd-Roman" w:cs="SabonLTStd-Roman"/>
        </w:rPr>
        <w:t xml:space="preserve"> </w:t>
      </w:r>
      <w:proofErr w:type="spellStart"/>
      <w:r>
        <w:rPr>
          <w:rFonts w:ascii="SabonLTStd-Roman" w:hAnsi="SabonLTStd-Roman" w:cs="SabonLTStd-Roman"/>
        </w:rPr>
        <w:t>adapt</w:t>
      </w:r>
      <w:proofErr w:type="spellEnd"/>
      <w:r>
        <w:rPr>
          <w:rFonts w:ascii="SabonLTStd-Roman" w:hAnsi="SabonLTStd-Roman" w:cs="SabonLTStd-Roman"/>
        </w:rPr>
        <w:t>«,</w:t>
      </w:r>
    </w:p>
    <w:p w14:paraId="085024BB" w14:textId="716AD5E1" w:rsidR="006E24D0" w:rsidRDefault="006E24D0" w:rsidP="006E24D0">
      <w:pPr>
        <w:autoSpaceDE w:val="0"/>
        <w:autoSpaceDN w:val="0"/>
        <w:adjustRightInd w:val="0"/>
        <w:rPr>
          <w:rFonts w:ascii="SabonLTStd-Roman" w:hAnsi="SabonLTStd-Roman" w:cs="SabonLTStd-Roman"/>
        </w:rPr>
      </w:pPr>
      <w:r>
        <w:rPr>
          <w:rFonts w:ascii="SabonLTStd-Roman" w:hAnsi="SabonLTStd-Roman" w:cs="SabonLTStd-Roman"/>
        </w:rPr>
        <w:t>was so viel heißt wie an- oder einpassen. Der Adapter bewirkt eine Anpassung der Schnittstellen.</w:t>
      </w:r>
    </w:p>
    <w:p w14:paraId="2A9C040A" w14:textId="3E53AB4E" w:rsidR="006E24D0" w:rsidRDefault="006E24D0" w:rsidP="006E24D0">
      <w:pPr>
        <w:autoSpaceDE w:val="0"/>
        <w:autoSpaceDN w:val="0"/>
        <w:adjustRightInd w:val="0"/>
        <w:rPr>
          <w:rFonts w:ascii="SabonLTStd-Roman" w:hAnsi="SabonLTStd-Roman" w:cs="SabonLTStd-Roman"/>
        </w:rPr>
      </w:pPr>
    </w:p>
    <w:p w14:paraId="56EE029E" w14:textId="77777777" w:rsidR="002A1F2C" w:rsidRDefault="002A1F2C" w:rsidP="002A1F2C">
      <w:pPr>
        <w:keepNext/>
        <w:autoSpaceDE w:val="0"/>
        <w:autoSpaceDN w:val="0"/>
        <w:adjustRightInd w:val="0"/>
      </w:pPr>
      <w:r>
        <w:rPr>
          <w:noProof/>
        </w:rPr>
        <w:drawing>
          <wp:inline distT="0" distB="0" distL="0" distR="0" wp14:anchorId="17974E1C" wp14:editId="65B55DD2">
            <wp:extent cx="5400675" cy="2510155"/>
            <wp:effectExtent l="0" t="0" r="9525"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675" cy="2510155"/>
                    </a:xfrm>
                    <a:prstGeom prst="rect">
                      <a:avLst/>
                    </a:prstGeom>
                  </pic:spPr>
                </pic:pic>
              </a:graphicData>
            </a:graphic>
          </wp:inline>
        </w:drawing>
      </w:r>
    </w:p>
    <w:p w14:paraId="22B995CD" w14:textId="0F60035E" w:rsidR="002A1F2C" w:rsidRDefault="002A1F2C" w:rsidP="002A1F2C">
      <w:pPr>
        <w:pStyle w:val="Beschriftung"/>
        <w:rPr>
          <w:rFonts w:ascii="SabonLTStd-Roman" w:hAnsi="SabonLTStd-Roman" w:cs="SabonLTStd-Roman"/>
        </w:rPr>
      </w:pPr>
      <w:r>
        <w:t xml:space="preserve">Abbildung </w:t>
      </w:r>
      <w:fldSimple w:instr=" SEQ Abbildung \* ARABIC ">
        <w:r w:rsidR="00984890">
          <w:rPr>
            <w:noProof/>
          </w:rPr>
          <w:t>2</w:t>
        </w:r>
      </w:fldSimple>
      <w:r>
        <w:t xml:space="preserve"> Adapter werden benutzt, falls Schnittstellen nicht zueinander</w:t>
      </w:r>
    </w:p>
    <w:p w14:paraId="0CDC80F3" w14:textId="77777777" w:rsidR="006E24D0" w:rsidRDefault="006E24D0" w:rsidP="006E24D0">
      <w:pPr>
        <w:pStyle w:val="Grundtext"/>
        <w:keepNext/>
      </w:pPr>
      <w:r>
        <w:rPr>
          <w:noProof/>
        </w:rPr>
        <w:drawing>
          <wp:inline distT="0" distB="0" distL="0" distR="0" wp14:anchorId="0E701644" wp14:editId="7D12D7E9">
            <wp:extent cx="4781550" cy="33242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81550" cy="3324225"/>
                    </a:xfrm>
                    <a:prstGeom prst="rect">
                      <a:avLst/>
                    </a:prstGeom>
                  </pic:spPr>
                </pic:pic>
              </a:graphicData>
            </a:graphic>
          </wp:inline>
        </w:drawing>
      </w:r>
    </w:p>
    <w:p w14:paraId="082DA948" w14:textId="32CA0088" w:rsidR="006E24D0" w:rsidRDefault="006E24D0" w:rsidP="006E24D0">
      <w:pPr>
        <w:pStyle w:val="Beschriftung"/>
        <w:jc w:val="both"/>
      </w:pPr>
      <w:r>
        <w:t xml:space="preserve">Abbildung </w:t>
      </w:r>
      <w:fldSimple w:instr=" SEQ Abbildung \* ARABIC ">
        <w:r w:rsidR="00984890">
          <w:rPr>
            <w:noProof/>
          </w:rPr>
          <w:t>3</w:t>
        </w:r>
      </w:fldSimple>
      <w:r>
        <w:t xml:space="preserve"> Kapselung des Zugriffs auf Fremdsysteme durch ein Fassadenobjekt</w:t>
      </w:r>
    </w:p>
    <w:p w14:paraId="4CA29101" w14:textId="744EC25C" w:rsidR="002A1F2C" w:rsidRPr="002A1F2C" w:rsidRDefault="002A1F2C" w:rsidP="002A1F2C">
      <w:pPr>
        <w:pStyle w:val="Grundtext"/>
      </w:pPr>
      <w:r>
        <w:lastRenderedPageBreak/>
        <w:t>Quelle Basiswissen für Softwarearchitekten 4. Auflage</w:t>
      </w:r>
    </w:p>
    <w:p w14:paraId="4822F041" w14:textId="78336926" w:rsidR="00855FF1" w:rsidRDefault="00855FF1" w:rsidP="00855FF1">
      <w:pPr>
        <w:pStyle w:val="berschrift2"/>
      </w:pPr>
      <w:r w:rsidRPr="00855FF1">
        <w:t>Proxy (R1)</w:t>
      </w:r>
    </w:p>
    <w:p w14:paraId="44CDD66C" w14:textId="77777777" w:rsidR="00574110" w:rsidRDefault="00574110" w:rsidP="00574110">
      <w:r>
        <w:t>Ein Client muss auf die Operationen einer Instanz einer bestimmten Klasse zugreifen.</w:t>
      </w:r>
    </w:p>
    <w:p w14:paraId="748E7E64" w14:textId="77777777" w:rsidR="00574110" w:rsidRDefault="00574110" w:rsidP="00574110">
      <w:r>
        <w:t xml:space="preserve">Nun kann es passieren, dass der direkte Zugriff auf die Operationen der Klasse nicht möglich, schwierig oder unangebracht ist. </w:t>
      </w:r>
    </w:p>
    <w:p w14:paraId="687A5490" w14:textId="77777777" w:rsidR="00574110" w:rsidRDefault="00574110" w:rsidP="00574110">
      <w:r>
        <w:t xml:space="preserve">Beispielsweise kann der direkte Zugriff unsicher oder ineffizient sein oder man befindet sich in einem verteilten Umfeld. Hier mag es nicht gewollt sein, dass die physikalische Netzadresse für den direkten Zugriff auf ein verteiltes Objekt im Client hartcodiert ist. </w:t>
      </w:r>
    </w:p>
    <w:p w14:paraId="514EB3E3" w14:textId="3475FE21" w:rsidR="00574110" w:rsidRDefault="00574110" w:rsidP="00574110">
      <w:r>
        <w:t>Aber ohne diese Adresse ist ein direkter Zugriff über das Netzwerk nicht möglich. Hier kann das Stellvertreter-Muster helfen. Der Client kommuniziert mit einem Stellvertreter (engl. Proxy) statt mit einer Instanz der eigentlichen Klasse.</w:t>
      </w:r>
    </w:p>
    <w:p w14:paraId="6755DCB3" w14:textId="4E31B309" w:rsidR="00574110" w:rsidRDefault="00574110" w:rsidP="00574110">
      <w:pPr>
        <w:rPr>
          <w:rFonts w:ascii="SabonLTStd-Roman" w:hAnsi="SabonLTStd-Roman" w:cs="SabonLTStd-Roman"/>
        </w:rPr>
      </w:pPr>
      <w:r>
        <w:t xml:space="preserve">Der Proxy bietet dieselbe Schnittstelle an wie die Instanzen der Klasse, die aufgerufen werden sollen. Intern leitet der Proxy den Aufruf an eine Instanz dieser </w:t>
      </w:r>
      <w:r>
        <w:rPr>
          <w:rFonts w:ascii="SabonLTStd-Roman" w:hAnsi="SabonLTStd-Roman" w:cs="SabonLTStd-Roman"/>
        </w:rPr>
        <w:t>Klasse weiter.</w:t>
      </w:r>
    </w:p>
    <w:p w14:paraId="63AE3BFB" w14:textId="2E3FF29D" w:rsidR="00FF3B54" w:rsidRDefault="00FF3B54" w:rsidP="00574110">
      <w:pPr>
        <w:rPr>
          <w:rFonts w:ascii="SabonLTStd-Roman" w:hAnsi="SabonLTStd-Roman" w:cs="SabonLTStd-Roman"/>
        </w:rPr>
      </w:pPr>
    </w:p>
    <w:p w14:paraId="3E18A4F5" w14:textId="77777777" w:rsidR="00FF3B54" w:rsidRDefault="00FF3B54" w:rsidP="00FF3B54">
      <w:pPr>
        <w:keepNext/>
      </w:pPr>
      <w:r>
        <w:rPr>
          <w:noProof/>
        </w:rPr>
        <w:drawing>
          <wp:inline distT="0" distB="0" distL="0" distR="0" wp14:anchorId="4242091D" wp14:editId="7A648169">
            <wp:extent cx="4676775" cy="215265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76775" cy="2152650"/>
                    </a:xfrm>
                    <a:prstGeom prst="rect">
                      <a:avLst/>
                    </a:prstGeom>
                  </pic:spPr>
                </pic:pic>
              </a:graphicData>
            </a:graphic>
          </wp:inline>
        </w:drawing>
      </w:r>
    </w:p>
    <w:p w14:paraId="664B301F" w14:textId="535AFB6D" w:rsidR="00FF3B54" w:rsidRDefault="00FF3B54" w:rsidP="00FF3B54">
      <w:pPr>
        <w:pStyle w:val="Beschriftung"/>
      </w:pPr>
      <w:r>
        <w:t xml:space="preserve">Abbildung </w:t>
      </w:r>
      <w:fldSimple w:instr=" SEQ Abbildung \* ARABIC ">
        <w:r w:rsidR="00984890">
          <w:rPr>
            <w:noProof/>
          </w:rPr>
          <w:t>4</w:t>
        </w:r>
      </w:fldSimple>
      <w:r>
        <w:t xml:space="preserve"> Das Proxy Muster</w:t>
      </w:r>
    </w:p>
    <w:p w14:paraId="393B18C9" w14:textId="72B4E0ED" w:rsidR="00FF3B54" w:rsidRDefault="00FF3B54" w:rsidP="00574110"/>
    <w:p w14:paraId="4EF8FD07" w14:textId="77777777" w:rsidR="00FF3B54" w:rsidRDefault="00FF3B54" w:rsidP="00FF3B54">
      <w:r>
        <w:rPr>
          <w:rFonts w:ascii="Calibri" w:eastAsia="Calibri" w:hAnsi="Calibri" w:cs="Calibri" w:hint="eastAsia"/>
        </w:rPr>
        <w:t>􀁑</w:t>
      </w:r>
      <w:r>
        <w:rPr>
          <w:rFonts w:ascii="ZapfDingbats" w:hAnsi="ZapfDingbats" w:cs="ZapfDingbats"/>
        </w:rPr>
        <w:t xml:space="preserve"> </w:t>
      </w:r>
      <w:r>
        <w:t xml:space="preserve">Der </w:t>
      </w:r>
      <w:r>
        <w:rPr>
          <w:rFonts w:ascii="SabonLTStd-Bold" w:hAnsi="SabonLTStd-Bold" w:cs="SabonLTStd-Bold"/>
          <w:b/>
          <w:bCs/>
        </w:rPr>
        <w:t xml:space="preserve">Client </w:t>
      </w:r>
      <w:r>
        <w:t>stellt das Objekt dar, das durch den Proxy auf das reale Subjekt</w:t>
      </w:r>
    </w:p>
    <w:p w14:paraId="410FE410" w14:textId="77777777" w:rsidR="00FF3B54" w:rsidRDefault="00FF3B54" w:rsidP="00FF3B54">
      <w:r>
        <w:t>zugreift.</w:t>
      </w:r>
    </w:p>
    <w:p w14:paraId="19AD1095" w14:textId="77777777" w:rsidR="00FF3B54" w:rsidRDefault="00FF3B54" w:rsidP="00FF3B54">
      <w:r>
        <w:rPr>
          <w:rFonts w:ascii="Calibri" w:eastAsia="Calibri" w:hAnsi="Calibri" w:cs="Calibri" w:hint="eastAsia"/>
        </w:rPr>
        <w:t>􀁑</w:t>
      </w:r>
      <w:r>
        <w:rPr>
          <w:rFonts w:ascii="ZapfDingbats" w:hAnsi="ZapfDingbats" w:cs="ZapfDingbats"/>
        </w:rPr>
        <w:t xml:space="preserve"> </w:t>
      </w:r>
      <w:r>
        <w:t xml:space="preserve">Der </w:t>
      </w:r>
      <w:r>
        <w:rPr>
          <w:rFonts w:ascii="SabonLTStd-Bold" w:hAnsi="SabonLTStd-Bold" w:cs="SabonLTStd-Bold"/>
          <w:b/>
          <w:bCs/>
        </w:rPr>
        <w:t xml:space="preserve">Proxy </w:t>
      </w:r>
      <w:r>
        <w:t>bietet nach außen hin eine zum realen Subjekt identische Schnittstelle.</w:t>
      </w:r>
    </w:p>
    <w:p w14:paraId="1F61E4A5" w14:textId="77777777" w:rsidR="00FF3B54" w:rsidRDefault="00FF3B54" w:rsidP="00FF3B54">
      <w:r>
        <w:rPr>
          <w:rFonts w:ascii="Calibri" w:eastAsia="Calibri" w:hAnsi="Calibri" w:cs="Calibri" w:hint="eastAsia"/>
        </w:rPr>
        <w:t>􀁑</w:t>
      </w:r>
      <w:r>
        <w:rPr>
          <w:rFonts w:ascii="ZapfDingbats" w:hAnsi="ZapfDingbats" w:cs="ZapfDingbats"/>
        </w:rPr>
        <w:t xml:space="preserve"> </w:t>
      </w:r>
      <w:r>
        <w:t xml:space="preserve">Das </w:t>
      </w:r>
      <w:r>
        <w:rPr>
          <w:rFonts w:ascii="SabonLTStd-Bold" w:hAnsi="SabonLTStd-Bold" w:cs="SabonLTStd-Bold"/>
          <w:b/>
          <w:bCs/>
        </w:rPr>
        <w:t xml:space="preserve">Subjekt </w:t>
      </w:r>
      <w:r>
        <w:t>definiert die gemeinsame Schnittstelle von Proxy und realem</w:t>
      </w:r>
    </w:p>
    <w:p w14:paraId="098D507B" w14:textId="77777777" w:rsidR="00FF3B54" w:rsidRDefault="00FF3B54" w:rsidP="00FF3B54">
      <w:r>
        <w:t>Subjekt und ermöglicht die Verwendung von Stellvertretern anstatt realer</w:t>
      </w:r>
    </w:p>
    <w:p w14:paraId="0D553D8D" w14:textId="77777777" w:rsidR="00FF3B54" w:rsidRDefault="00FF3B54" w:rsidP="00FF3B54">
      <w:r>
        <w:t>Subjekte.</w:t>
      </w:r>
    </w:p>
    <w:p w14:paraId="2025E14E" w14:textId="1A270CE9" w:rsidR="00FF3B54" w:rsidRPr="00574110" w:rsidRDefault="00FF3B54" w:rsidP="00FF3B54">
      <w:r>
        <w:rPr>
          <w:rFonts w:ascii="Calibri" w:eastAsia="Calibri" w:hAnsi="Calibri" w:cs="Calibri" w:hint="eastAsia"/>
        </w:rPr>
        <w:t>􀁑</w:t>
      </w:r>
      <w:r>
        <w:rPr>
          <w:rFonts w:ascii="ZapfDingbats" w:hAnsi="ZapfDingbats" w:cs="ZapfDingbats"/>
        </w:rPr>
        <w:t xml:space="preserve"> </w:t>
      </w:r>
      <w:r>
        <w:t xml:space="preserve">Das </w:t>
      </w:r>
      <w:r>
        <w:rPr>
          <w:rFonts w:ascii="SabonLTStd-Bold" w:hAnsi="SabonLTStd-Bold" w:cs="SabonLTStd-Bold"/>
          <w:b/>
          <w:bCs/>
        </w:rPr>
        <w:t xml:space="preserve">reale Subjekt </w:t>
      </w:r>
      <w:r>
        <w:t>ist das durch den Proxy repräsentierte Objekt.</w:t>
      </w:r>
    </w:p>
    <w:p w14:paraId="7F67D217" w14:textId="370F98D1" w:rsidR="00855FF1" w:rsidRDefault="00855FF1" w:rsidP="00855FF1">
      <w:pPr>
        <w:pStyle w:val="berschrift2"/>
      </w:pPr>
      <w:r w:rsidRPr="00855FF1">
        <w:t>Plugin (R1)</w:t>
      </w:r>
    </w:p>
    <w:p w14:paraId="6C6649B0" w14:textId="162AE32C" w:rsidR="00574110" w:rsidRDefault="00574110" w:rsidP="00574110">
      <w:r>
        <w:t xml:space="preserve">Das Plugin Muster benutzt i.a. das </w:t>
      </w:r>
      <w:proofErr w:type="spellStart"/>
      <w:r>
        <w:t>Separated</w:t>
      </w:r>
      <w:proofErr w:type="spellEnd"/>
      <w:r>
        <w:t xml:space="preserve"> Interface Pattern. Im </w:t>
      </w:r>
      <w:proofErr w:type="spellStart"/>
      <w:r>
        <w:t>Separated</w:t>
      </w:r>
      <w:proofErr w:type="spellEnd"/>
      <w:r>
        <w:t xml:space="preserve"> Interface Pattern definiert die Schnittstelle in einem anderen Paket, in der die Implementationen definiert sind.</w:t>
      </w:r>
    </w:p>
    <w:p w14:paraId="469CF1D9" w14:textId="77777777" w:rsidR="00574110" w:rsidRDefault="00574110" w:rsidP="00574110"/>
    <w:p w14:paraId="653AF3D2" w14:textId="3C803ACC" w:rsidR="00574110" w:rsidRDefault="00574110" w:rsidP="00574110">
      <w:r>
        <w:t xml:space="preserve">Ein Plugin wird i.a. verwendet, in dem man erst zur Konfiguration oder ggf. erst zur Laufzeit das Verhalten bestimmen will. Im Gegensatz zu Konfigurationsdateien, die i.a. nur </w:t>
      </w:r>
      <w:proofErr w:type="spellStart"/>
      <w:r>
        <w:t>key</w:t>
      </w:r>
      <w:proofErr w:type="spellEnd"/>
      <w:r>
        <w:t xml:space="preserve"> </w:t>
      </w:r>
      <w:proofErr w:type="spellStart"/>
      <w:r>
        <w:t>value</w:t>
      </w:r>
      <w:proofErr w:type="spellEnd"/>
      <w:r>
        <w:t xml:space="preserve"> Werte enthalten bestehen </w:t>
      </w:r>
      <w:proofErr w:type="spellStart"/>
      <w:r>
        <w:t>PlugIns</w:t>
      </w:r>
      <w:proofErr w:type="spellEnd"/>
      <w:r>
        <w:t xml:space="preserve"> aus Dateien mit gesamten </w:t>
      </w:r>
      <w:proofErr w:type="spellStart"/>
      <w:r>
        <w:t>SourceCode</w:t>
      </w:r>
      <w:proofErr w:type="spellEnd"/>
      <w:r>
        <w:t xml:space="preserve">, die das </w:t>
      </w:r>
      <w:proofErr w:type="spellStart"/>
      <w:r>
        <w:t>SeparatedInterface</w:t>
      </w:r>
      <w:proofErr w:type="spellEnd"/>
      <w:r>
        <w:t xml:space="preserve"> erfüllt. </w:t>
      </w:r>
    </w:p>
    <w:p w14:paraId="72B52006" w14:textId="299A7E11" w:rsidR="00574110" w:rsidRDefault="00574110" w:rsidP="00574110"/>
    <w:p w14:paraId="1BFA7528" w14:textId="77777777" w:rsidR="00574110" w:rsidRDefault="00574110" w:rsidP="00574110">
      <w:pPr>
        <w:keepNext/>
      </w:pPr>
      <w:r>
        <w:rPr>
          <w:noProof/>
        </w:rPr>
        <w:lastRenderedPageBreak/>
        <w:drawing>
          <wp:inline distT="0" distB="0" distL="0" distR="0" wp14:anchorId="5C2ABCA9" wp14:editId="6E949781">
            <wp:extent cx="4819650" cy="23812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19650" cy="2381250"/>
                    </a:xfrm>
                    <a:prstGeom prst="rect">
                      <a:avLst/>
                    </a:prstGeom>
                  </pic:spPr>
                </pic:pic>
              </a:graphicData>
            </a:graphic>
          </wp:inline>
        </w:drawing>
      </w:r>
    </w:p>
    <w:p w14:paraId="26E31DA1" w14:textId="565D20BA" w:rsidR="00574110" w:rsidRDefault="00574110" w:rsidP="00574110">
      <w:pPr>
        <w:pStyle w:val="Beschriftung"/>
      </w:pPr>
      <w:r>
        <w:t xml:space="preserve">Abbildung </w:t>
      </w:r>
      <w:fldSimple w:instr=" SEQ Abbildung \* ARABIC ">
        <w:r w:rsidR="00984890">
          <w:rPr>
            <w:noProof/>
          </w:rPr>
          <w:t>5</w:t>
        </w:r>
      </w:fldSimple>
      <w:r>
        <w:t xml:space="preserve"> Die Plugin Factory erzeugt aus einer Textdatei eine entsprechende Klasse</w:t>
      </w:r>
    </w:p>
    <w:p w14:paraId="5C3321B0" w14:textId="00B1CBB9" w:rsidR="00574110" w:rsidRPr="00574110" w:rsidRDefault="00574110" w:rsidP="00574110">
      <w:r>
        <w:t>Ein Plugin wird verwendet, um Code, der erst zur Laufzeit bekannt ist, einbauen zu können.</w:t>
      </w:r>
    </w:p>
    <w:p w14:paraId="4CF3AC73" w14:textId="2B9E283F" w:rsidR="00855FF1" w:rsidRDefault="00855FF1" w:rsidP="00855FF1">
      <w:pPr>
        <w:pStyle w:val="berschrift2"/>
      </w:pPr>
      <w:proofErr w:type="spellStart"/>
      <w:r w:rsidRPr="00855FF1">
        <w:t>Blackboard</w:t>
      </w:r>
      <w:proofErr w:type="spellEnd"/>
      <w:r w:rsidRPr="00855FF1">
        <w:t xml:space="preserve"> (R2)</w:t>
      </w:r>
    </w:p>
    <w:p w14:paraId="6D7AB401" w14:textId="429DFD3A" w:rsidR="00594971" w:rsidRPr="00594971" w:rsidRDefault="00594971" w:rsidP="00594971">
      <w:r>
        <w:t xml:space="preserve">Das </w:t>
      </w:r>
      <w:proofErr w:type="spellStart"/>
      <w:r>
        <w:t>Blackboard</w:t>
      </w:r>
      <w:proofErr w:type="spellEnd"/>
      <w:r>
        <w:t xml:space="preserve"> Muster wird vor allem in Bereichen der Künstlichen Intelligenz verwendet. Es gibt i.a. viele wissensbasierte Systeme (Knowledge Source). Die Ausgangsbasis und die Zwischenergebnisse werden auf einem </w:t>
      </w:r>
      <w:proofErr w:type="spellStart"/>
      <w:r>
        <w:t>Blackboard</w:t>
      </w:r>
      <w:proofErr w:type="spellEnd"/>
      <w:r>
        <w:t xml:space="preserve"> festgehalten.</w:t>
      </w:r>
    </w:p>
    <w:p w14:paraId="39148950" w14:textId="356AE995" w:rsidR="00594971" w:rsidRDefault="00594971" w:rsidP="00594971">
      <w:pPr>
        <w:pStyle w:val="Grundtext"/>
      </w:pPr>
      <w:r>
        <w:rPr>
          <w:noProof/>
        </w:rPr>
        <w:drawing>
          <wp:inline distT="0" distB="0" distL="0" distR="0" wp14:anchorId="42A9FA9E" wp14:editId="0E004FCD">
            <wp:extent cx="4057650" cy="267652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57650" cy="2676525"/>
                    </a:xfrm>
                    <a:prstGeom prst="rect">
                      <a:avLst/>
                    </a:prstGeom>
                  </pic:spPr>
                </pic:pic>
              </a:graphicData>
            </a:graphic>
          </wp:inline>
        </w:drawing>
      </w:r>
    </w:p>
    <w:p w14:paraId="618FCC5F" w14:textId="577E1D51" w:rsidR="004E6295" w:rsidRDefault="004E6295" w:rsidP="004E6295">
      <w:r>
        <w:t xml:space="preserve">Es gibt i.a. genau 1 Control Objekt, dass das </w:t>
      </w:r>
      <w:proofErr w:type="spellStart"/>
      <w:r>
        <w:t>Blackboard</w:t>
      </w:r>
      <w:proofErr w:type="spellEnd"/>
      <w:r>
        <w:t xml:space="preserve"> in einer Dauerschleife (loop) überwacht. Meist reagiert es auf Änderungen </w:t>
      </w:r>
      <w:r w:rsidR="00A1306A">
        <w:t xml:space="preserve">im </w:t>
      </w:r>
      <w:proofErr w:type="spellStart"/>
      <w:r w:rsidR="00A1306A">
        <w:t>Blackboard</w:t>
      </w:r>
      <w:proofErr w:type="spellEnd"/>
      <w:r w:rsidR="00A1306A">
        <w:t xml:space="preserve"> (</w:t>
      </w:r>
      <w:proofErr w:type="spellStart"/>
      <w:r w:rsidR="00A1306A">
        <w:t>nextSource</w:t>
      </w:r>
      <w:proofErr w:type="spellEnd"/>
      <w:r w:rsidR="00A1306A">
        <w:t>()).</w:t>
      </w:r>
    </w:p>
    <w:p w14:paraId="1C379E2B" w14:textId="1CBBA71F" w:rsidR="00A1306A" w:rsidRDefault="00A1306A" w:rsidP="004E6295"/>
    <w:p w14:paraId="581FF127" w14:textId="422169CA" w:rsidR="00594971" w:rsidRDefault="00A1306A" w:rsidP="00A1306A">
      <w:r>
        <w:t xml:space="preserve">Das Control Objekt triggert die wissensbasierten Systeme, die i.a. unabhängig voneinander sind. Die </w:t>
      </w:r>
      <w:proofErr w:type="spellStart"/>
      <w:r>
        <w:t>execCondition</w:t>
      </w:r>
      <w:proofErr w:type="spellEnd"/>
      <w:r>
        <w:t xml:space="preserve"> entscheidet i.a. ob das wissensbasierte System aktiv wird. Dazu ruft das wissensbasierte System die </w:t>
      </w:r>
      <w:proofErr w:type="spellStart"/>
      <w:r>
        <w:t>inspect</w:t>
      </w:r>
      <w:proofErr w:type="spellEnd"/>
      <w:r>
        <w:t xml:space="preserve"> Methode des </w:t>
      </w:r>
      <w:proofErr w:type="spellStart"/>
      <w:r>
        <w:t>Blackboards</w:t>
      </w:r>
      <w:proofErr w:type="spellEnd"/>
      <w:r>
        <w:t xml:space="preserve"> auf. Innerhalb des </w:t>
      </w:r>
      <w:proofErr w:type="spellStart"/>
      <w:r>
        <w:t>execAction</w:t>
      </w:r>
      <w:proofErr w:type="spellEnd"/>
      <w:r>
        <w:t xml:space="preserve"> werden die Ergebnisse </w:t>
      </w:r>
      <w:r>
        <w:lastRenderedPageBreak/>
        <w:t xml:space="preserve">wieder auf das </w:t>
      </w:r>
      <w:proofErr w:type="spellStart"/>
      <w:r>
        <w:t>Blackboard</w:t>
      </w:r>
      <w:proofErr w:type="spellEnd"/>
      <w:r>
        <w:t xml:space="preserve"> zurückgeschrieben (update)</w:t>
      </w:r>
      <w:r w:rsidR="00594971">
        <w:rPr>
          <w:noProof/>
        </w:rPr>
        <w:drawing>
          <wp:inline distT="0" distB="0" distL="0" distR="0" wp14:anchorId="46E75CBE" wp14:editId="34DDB353">
            <wp:extent cx="2905125" cy="2105025"/>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05125" cy="2105025"/>
                    </a:xfrm>
                    <a:prstGeom prst="rect">
                      <a:avLst/>
                    </a:prstGeom>
                  </pic:spPr>
                </pic:pic>
              </a:graphicData>
            </a:graphic>
          </wp:inline>
        </w:drawing>
      </w:r>
    </w:p>
    <w:p w14:paraId="1333EF15" w14:textId="215B2EDC" w:rsidR="00A1306A" w:rsidRDefault="00A1306A" w:rsidP="00A1306A">
      <w:r>
        <w:t xml:space="preserve">Das Control Objekt triggert die wissensbasierten Systeme, die i.a. unabhängig voneinander sind. Die </w:t>
      </w:r>
      <w:proofErr w:type="spellStart"/>
      <w:r>
        <w:t>execCondition</w:t>
      </w:r>
      <w:proofErr w:type="spellEnd"/>
      <w:r>
        <w:t>, entscheidet i.a. ob das wissensbasierte System aktiv wird.</w:t>
      </w:r>
    </w:p>
    <w:p w14:paraId="06867D74" w14:textId="6A8279C0" w:rsidR="00594971" w:rsidRDefault="00552B25" w:rsidP="00594971">
      <w:pPr>
        <w:pStyle w:val="Grundtext"/>
      </w:pPr>
      <w:r>
        <w:rPr>
          <w:noProof/>
        </w:rPr>
        <w:drawing>
          <wp:inline distT="0" distB="0" distL="0" distR="0" wp14:anchorId="5AE97FC2" wp14:editId="693D2A09">
            <wp:extent cx="5400675" cy="1905635"/>
            <wp:effectExtent l="0" t="0" r="952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675" cy="1905635"/>
                    </a:xfrm>
                    <a:prstGeom prst="rect">
                      <a:avLst/>
                    </a:prstGeom>
                  </pic:spPr>
                </pic:pic>
              </a:graphicData>
            </a:graphic>
          </wp:inline>
        </w:drawing>
      </w:r>
    </w:p>
    <w:p w14:paraId="517974FF" w14:textId="1A5697A0" w:rsidR="00080223" w:rsidRPr="00594971" w:rsidRDefault="00A1306A" w:rsidP="00080223">
      <w:r>
        <w:t xml:space="preserve">Das </w:t>
      </w:r>
      <w:proofErr w:type="spellStart"/>
      <w:r>
        <w:t>Blackboard</w:t>
      </w:r>
      <w:proofErr w:type="spellEnd"/>
      <w:r>
        <w:t xml:space="preserve"> selbst, enthält nur die Daten und ist unabhängig vom Control Objekt und den wissensbasierten Systemen.</w:t>
      </w:r>
    </w:p>
    <w:p w14:paraId="3B2B876D" w14:textId="77777777" w:rsidR="00855FF1" w:rsidRPr="00855FF1" w:rsidRDefault="00855FF1" w:rsidP="00855FF1">
      <w:pPr>
        <w:pStyle w:val="berschrift2"/>
      </w:pPr>
      <w:r w:rsidRPr="00855FF1">
        <w:t>Model-View-Controller und Varianten (R2)</w:t>
      </w:r>
    </w:p>
    <w:p w14:paraId="0FF73DA9" w14:textId="7602D836" w:rsidR="00855FF1" w:rsidRDefault="00855FF1" w:rsidP="00855FF1">
      <w:pPr>
        <w:pStyle w:val="berschrift2"/>
      </w:pPr>
      <w:r w:rsidRPr="00855FF1">
        <w:t>Broker (R2)</w:t>
      </w:r>
    </w:p>
    <w:p w14:paraId="662D9849" w14:textId="6D76C5B4" w:rsidR="00D32402" w:rsidRDefault="00D32402" w:rsidP="00D32402">
      <w:r>
        <w:t>Sie können das Broker-Muster verwenden, um die Zusammenarbeit in verteilten Systemen zu koordinieren. Ein Broker verantwortet dabei den Ablauf der Kommunikation verteilter Bausteine sowie die technische Übertragung von Anfragen, Ergebnissen und Ausnahmen</w:t>
      </w:r>
    </w:p>
    <w:p w14:paraId="008B7491" w14:textId="0103A0FE" w:rsidR="00D32402" w:rsidRDefault="00D32402" w:rsidP="00D32402"/>
    <w:p w14:paraId="0343DA3D" w14:textId="63B79FB8" w:rsidR="00D32402" w:rsidRDefault="00D32402" w:rsidP="00D32402">
      <w:r>
        <w:t>Quelle Software Architektur kompakt</w:t>
      </w:r>
    </w:p>
    <w:p w14:paraId="16773C20" w14:textId="774A48C6" w:rsidR="00761C11" w:rsidRDefault="00761C11" w:rsidP="00D32402"/>
    <w:p w14:paraId="77D6DA20" w14:textId="339998F9" w:rsidR="00761C11" w:rsidRDefault="00761C11" w:rsidP="00D32402">
      <w:r>
        <w:t xml:space="preserve">Eine genauere Beschreibung ist in dem Buch </w:t>
      </w:r>
      <w:proofErr w:type="spellStart"/>
      <w:r>
        <w:t>Patterm</w:t>
      </w:r>
      <w:proofErr w:type="spellEnd"/>
      <w:r>
        <w:t xml:space="preserve"> </w:t>
      </w:r>
      <w:proofErr w:type="spellStart"/>
      <w:r>
        <w:t>Orientend</w:t>
      </w:r>
      <w:proofErr w:type="spellEnd"/>
      <w:r>
        <w:t xml:space="preserve"> Software Architecture - A System </w:t>
      </w:r>
      <w:proofErr w:type="spellStart"/>
      <w:r>
        <w:t>of</w:t>
      </w:r>
      <w:proofErr w:type="spellEnd"/>
      <w:r>
        <w:t xml:space="preserve"> Patterns Volume 1 mit u.a. Frank Buschmann als einer der Hauptautoren.</w:t>
      </w:r>
    </w:p>
    <w:p w14:paraId="268E46E0" w14:textId="3B41BE9D" w:rsidR="00535E31" w:rsidRDefault="00535E31" w:rsidP="00D32402"/>
    <w:p w14:paraId="643A7290" w14:textId="4194E39E" w:rsidR="00535E31" w:rsidRDefault="00535E31" w:rsidP="00D32402">
      <w:r>
        <w:t xml:space="preserve">Siehe auch </w:t>
      </w:r>
      <w:hyperlink r:id="rId17" w:history="1">
        <w:r w:rsidR="00D4342C" w:rsidRPr="007D675B">
          <w:rPr>
            <w:rStyle w:val="Hyperlink"/>
          </w:rPr>
          <w:t>https://www.grimm-jaud.de/index.php/private-vortraege/27-broker-pattern</w:t>
        </w:r>
      </w:hyperlink>
      <w:r w:rsidR="00D4342C">
        <w:t xml:space="preserve"> als Quelle</w:t>
      </w:r>
    </w:p>
    <w:p w14:paraId="10B17993" w14:textId="0391B042" w:rsidR="00D522EC" w:rsidRDefault="00D522EC" w:rsidP="00D32402"/>
    <w:p w14:paraId="07237BC4" w14:textId="3D7C547C" w:rsidR="00D522EC" w:rsidRDefault="00D522EC" w:rsidP="00D32402">
      <w:r>
        <w:t>Der Unterschied zu RPC, das im nächsten Kapitel beschrieben wird, ist dass die teilnehmenden Komponenten entkoppelt sind. D.h. man entscheidet erst zur Laufzeit, welcher Dienst von welchem Rechner im Netzwerk verwendet wird.</w:t>
      </w:r>
    </w:p>
    <w:p w14:paraId="725B15BE" w14:textId="2B5E1FEC" w:rsidR="00D32402" w:rsidRDefault="00D32402" w:rsidP="00D32402"/>
    <w:p w14:paraId="2CA03C5D" w14:textId="77777777" w:rsidR="00736842" w:rsidRDefault="00736842" w:rsidP="00736842">
      <w:pPr>
        <w:keepNext/>
      </w:pPr>
      <w:r>
        <w:rPr>
          <w:noProof/>
        </w:rPr>
        <w:lastRenderedPageBreak/>
        <w:drawing>
          <wp:inline distT="0" distB="0" distL="0" distR="0" wp14:anchorId="01364126" wp14:editId="0FE1CA01">
            <wp:extent cx="5400675" cy="2592705"/>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00675" cy="2592705"/>
                    </a:xfrm>
                    <a:prstGeom prst="rect">
                      <a:avLst/>
                    </a:prstGeom>
                  </pic:spPr>
                </pic:pic>
              </a:graphicData>
            </a:graphic>
          </wp:inline>
        </w:drawing>
      </w:r>
    </w:p>
    <w:p w14:paraId="54FB6AFD" w14:textId="2036FDE6" w:rsidR="00D32402" w:rsidRDefault="00736842" w:rsidP="00736842">
      <w:pPr>
        <w:pStyle w:val="Beschriftung"/>
      </w:pPr>
      <w:r>
        <w:t xml:space="preserve">Abbildung </w:t>
      </w:r>
      <w:fldSimple w:instr=" SEQ Abbildung \* ARABIC ">
        <w:r w:rsidR="00984890">
          <w:rPr>
            <w:noProof/>
          </w:rPr>
          <w:t>6</w:t>
        </w:r>
      </w:fldSimple>
      <w:r>
        <w:t xml:space="preserve"> Komponenten eines Brokers</w:t>
      </w:r>
    </w:p>
    <w:p w14:paraId="319CE5F1" w14:textId="6B2E1535" w:rsidR="00736842" w:rsidRDefault="00736842" w:rsidP="00736842">
      <w:pPr>
        <w:pStyle w:val="Grundtext"/>
      </w:pPr>
    </w:p>
    <w:p w14:paraId="61F0771B" w14:textId="6EBAF90F" w:rsidR="00736842" w:rsidRDefault="00863FBC" w:rsidP="00736842">
      <w:pPr>
        <w:pStyle w:val="Grundtext"/>
      </w:pPr>
      <w:r>
        <w:rPr>
          <w:noProof/>
        </w:rPr>
        <w:drawing>
          <wp:inline distT="0" distB="0" distL="0" distR="0" wp14:anchorId="30F03396" wp14:editId="29B9AEFD">
            <wp:extent cx="5400675" cy="1955165"/>
            <wp:effectExtent l="0" t="0" r="9525" b="698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00675" cy="1955165"/>
                    </a:xfrm>
                    <a:prstGeom prst="rect">
                      <a:avLst/>
                    </a:prstGeom>
                  </pic:spPr>
                </pic:pic>
              </a:graphicData>
            </a:graphic>
          </wp:inline>
        </w:drawing>
      </w:r>
    </w:p>
    <w:p w14:paraId="6BFF4DAD" w14:textId="094F87B0" w:rsidR="00845DE5" w:rsidRPr="00845DE5" w:rsidRDefault="00845DE5" w:rsidP="00845DE5">
      <w:pPr>
        <w:rPr>
          <w:sz w:val="24"/>
          <w:szCs w:val="24"/>
        </w:rPr>
      </w:pPr>
      <w:r w:rsidRPr="00845DE5">
        <w:rPr>
          <w:shd w:val="clear" w:color="auto" w:fill="FFFFFF"/>
        </w:rPr>
        <w:t>Der Server stellt die Funktionalität zur Verfügung, die durch eine Schnittstellen-Definitionssprache spezifiziert wird. Hier muss man zwischen zwei Servertypen unterscheiden:</w:t>
      </w:r>
    </w:p>
    <w:p w14:paraId="3C53DAD0" w14:textId="048FF66F" w:rsidR="00845DE5" w:rsidRPr="00845DE5" w:rsidRDefault="00845DE5" w:rsidP="00845DE5">
      <w:pPr>
        <w:pStyle w:val="Listenabsatz"/>
        <w:numPr>
          <w:ilvl w:val="0"/>
          <w:numId w:val="34"/>
        </w:numPr>
      </w:pPr>
      <w:r w:rsidRPr="00845DE5">
        <w:t>Server, die Funktionalität für die Broker Architektur implementieren (Namensdienst )</w:t>
      </w:r>
    </w:p>
    <w:p w14:paraId="77FE25DD" w14:textId="21EDAEEF" w:rsidR="00845DE5" w:rsidRDefault="00845DE5" w:rsidP="00845DE5">
      <w:pPr>
        <w:pStyle w:val="Listenabsatz"/>
        <w:numPr>
          <w:ilvl w:val="0"/>
          <w:numId w:val="34"/>
        </w:numPr>
      </w:pPr>
      <w:r w:rsidRPr="00845DE5">
        <w:t>Server, die die spezifische Funktionalität zur Verfügung stellen</w:t>
      </w:r>
    </w:p>
    <w:p w14:paraId="365CB98D" w14:textId="00035E1D" w:rsidR="00845DE5" w:rsidRDefault="00845DE5" w:rsidP="00845DE5"/>
    <w:p w14:paraId="1C3E3E9A" w14:textId="2B23F5FD" w:rsidR="00845DE5" w:rsidRDefault="00845DE5" w:rsidP="00845DE5">
      <w:pPr>
        <w:rPr>
          <w:shd w:val="clear" w:color="auto" w:fill="FFFFFF"/>
        </w:rPr>
      </w:pPr>
      <w:r>
        <w:rPr>
          <w:shd w:val="clear" w:color="auto" w:fill="FFFFFF"/>
        </w:rPr>
        <w:t xml:space="preserve">Anwendungen, die Funktionalität der Server nutzen, indem sie dem Vermittler Anfragen stellen. Die klassische Trennung Client - Server existiert hier nicht, da Server für die Bearbeitung ihrer Anfrage </w:t>
      </w:r>
      <w:proofErr w:type="spellStart"/>
      <w:r>
        <w:rPr>
          <w:shd w:val="clear" w:color="auto" w:fill="FFFFFF"/>
        </w:rPr>
        <w:t>anderere</w:t>
      </w:r>
      <w:proofErr w:type="spellEnd"/>
      <w:r>
        <w:rPr>
          <w:shd w:val="clear" w:color="auto" w:fill="FFFFFF"/>
        </w:rPr>
        <w:t xml:space="preserve"> Server nutzen können (müssen).</w:t>
      </w:r>
    </w:p>
    <w:p w14:paraId="1DA0B3F8" w14:textId="3924E864" w:rsidR="00535E31" w:rsidRDefault="00535E31" w:rsidP="00845DE5">
      <w:pPr>
        <w:rPr>
          <w:shd w:val="clear" w:color="auto" w:fill="FFFFFF"/>
        </w:rPr>
      </w:pPr>
    </w:p>
    <w:p w14:paraId="57F4201D" w14:textId="3C47338D" w:rsidR="00535E31" w:rsidRPr="00845DE5" w:rsidRDefault="00535E31" w:rsidP="00845DE5">
      <w:r>
        <w:rPr>
          <w:noProof/>
        </w:rPr>
        <w:lastRenderedPageBreak/>
        <w:drawing>
          <wp:inline distT="0" distB="0" distL="0" distR="0" wp14:anchorId="12918849" wp14:editId="5E067284">
            <wp:extent cx="5400675" cy="1901825"/>
            <wp:effectExtent l="0" t="0" r="9525" b="31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00675" cy="1901825"/>
                    </a:xfrm>
                    <a:prstGeom prst="rect">
                      <a:avLst/>
                    </a:prstGeom>
                  </pic:spPr>
                </pic:pic>
              </a:graphicData>
            </a:graphic>
          </wp:inline>
        </w:drawing>
      </w:r>
    </w:p>
    <w:p w14:paraId="5B431F5B" w14:textId="3C784C46" w:rsidR="00535E31" w:rsidRDefault="00535E31" w:rsidP="00535E31">
      <w:r>
        <w:t>Ein anderer Name für Client-Side Proxy ist Stub. Der Proxy auf der Server Seite nennt Man auch Skeleton.</w:t>
      </w:r>
    </w:p>
    <w:p w14:paraId="6E12EF25" w14:textId="676D56D9" w:rsidR="00535E31" w:rsidRDefault="00535E31" w:rsidP="00535E31"/>
    <w:p w14:paraId="68A9BF23" w14:textId="2A01DA69" w:rsidR="00535E31" w:rsidRDefault="00535E31" w:rsidP="00535E31">
      <w:r>
        <w:rPr>
          <w:shd w:val="clear" w:color="auto" w:fill="FFFFFF"/>
        </w:rPr>
        <w:t xml:space="preserve">Dieser Proxy befindet sich transparent zwischen dem </w:t>
      </w:r>
      <w:proofErr w:type="spellStart"/>
      <w:r>
        <w:rPr>
          <w:shd w:val="clear" w:color="auto" w:fill="FFFFFF"/>
        </w:rPr>
        <w:t>Clienten</w:t>
      </w:r>
      <w:proofErr w:type="spellEnd"/>
      <w:r>
        <w:rPr>
          <w:shd w:val="clear" w:color="auto" w:fill="FFFFFF"/>
        </w:rPr>
        <w:t xml:space="preserve"> und dem Vermittler. Seine Aufgabe besteht im </w:t>
      </w:r>
      <w:r w:rsidR="00D4342C">
        <w:rPr>
          <w:shd w:val="clear" w:color="auto" w:fill="FFFFFF"/>
        </w:rPr>
        <w:t>Wesentlichen</w:t>
      </w:r>
      <w:r>
        <w:rPr>
          <w:shd w:val="clear" w:color="auto" w:fill="FFFFFF"/>
        </w:rPr>
        <w:t xml:space="preserve"> darin, </w:t>
      </w:r>
      <w:proofErr w:type="spellStart"/>
      <w:r>
        <w:rPr>
          <w:shd w:val="clear" w:color="auto" w:fill="FFFFFF"/>
        </w:rPr>
        <w:t>systemspezifsche</w:t>
      </w:r>
      <w:proofErr w:type="spellEnd"/>
      <w:r>
        <w:rPr>
          <w:shd w:val="clear" w:color="auto" w:fill="FFFFFF"/>
        </w:rPr>
        <w:t xml:space="preserve"> Funktionalität zu kapseln. Dies kann die Verwaltung des Speichers, der IPC-</w:t>
      </w:r>
      <w:proofErr w:type="spellStart"/>
      <w:r>
        <w:rPr>
          <w:shd w:val="clear" w:color="auto" w:fill="FFFFFF"/>
        </w:rPr>
        <w:t>Mechnismus</w:t>
      </w:r>
      <w:proofErr w:type="spellEnd"/>
      <w:r>
        <w:rPr>
          <w:shd w:val="clear" w:color="auto" w:fill="FFFFFF"/>
        </w:rPr>
        <w:t xml:space="preserve">, das Marshallen oder das </w:t>
      </w:r>
      <w:proofErr w:type="spellStart"/>
      <w:r>
        <w:rPr>
          <w:shd w:val="clear" w:color="auto" w:fill="FFFFFF"/>
        </w:rPr>
        <w:t>Cachen</w:t>
      </w:r>
      <w:proofErr w:type="spellEnd"/>
      <w:r>
        <w:rPr>
          <w:shd w:val="clear" w:color="auto" w:fill="FFFFFF"/>
        </w:rPr>
        <w:t xml:space="preserve"> von Daten sein. Oft findet im clientseitigen Proxy eine Abbildung vom Objektmodell des Client zu dem des Vermittlers statt.</w:t>
      </w:r>
    </w:p>
    <w:p w14:paraId="390629A4" w14:textId="77777777" w:rsidR="00535E31" w:rsidRDefault="00535E31" w:rsidP="00535E31"/>
    <w:p w14:paraId="15F1AFC9" w14:textId="3916C166" w:rsidR="00845DE5" w:rsidRDefault="00535E31" w:rsidP="00535E31">
      <w:r>
        <w:t xml:space="preserve"> </w:t>
      </w:r>
      <w:r w:rsidRPr="00535E31">
        <w:t>Der Server Proxy erfüllt die ähnlichen Aufgaben wie der Client Proxy. So übersetzt er die Daten in das Objektformat des Servers</w:t>
      </w:r>
      <w:r>
        <w:t>.</w:t>
      </w:r>
    </w:p>
    <w:p w14:paraId="653922F0" w14:textId="77777777" w:rsidR="00845DE5" w:rsidRDefault="00845DE5" w:rsidP="00736842">
      <w:pPr>
        <w:pStyle w:val="Grundtext"/>
      </w:pPr>
      <w:r>
        <w:rPr>
          <w:noProof/>
        </w:rPr>
        <w:drawing>
          <wp:inline distT="0" distB="0" distL="0" distR="0" wp14:anchorId="5DBAEC1E" wp14:editId="6701102A">
            <wp:extent cx="2952750" cy="22860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52750" cy="2286000"/>
                    </a:xfrm>
                    <a:prstGeom prst="rect">
                      <a:avLst/>
                    </a:prstGeom>
                  </pic:spPr>
                </pic:pic>
              </a:graphicData>
            </a:graphic>
          </wp:inline>
        </w:drawing>
      </w:r>
    </w:p>
    <w:p w14:paraId="415AF67D" w14:textId="6769F78C" w:rsidR="00845DE5" w:rsidRDefault="00535E31" w:rsidP="00535E31">
      <w:r>
        <w:rPr>
          <w:shd w:val="clear" w:color="auto" w:fill="FFFFFF"/>
        </w:rPr>
        <w:t xml:space="preserve">Bringt den Dienstanbieter und den Dienstnutzer zusammen und stellt ihnen einen Kommunikationskanal zur Verfügung. Der Vermittler nutzt zur Auffindung des Service den Namensdienst. Typischerweise besitzt er eine Registratur für die Services und die Mächtigkeit, den Lebenszyklus der Services zu steuern. Serviceanfragen, die er nicht an seine Services delegiert, leitet er </w:t>
      </w:r>
      <w:proofErr w:type="spellStart"/>
      <w:r>
        <w:rPr>
          <w:shd w:val="clear" w:color="auto" w:fill="FFFFFF"/>
        </w:rPr>
        <w:t>gegebenfalls</w:t>
      </w:r>
      <w:proofErr w:type="spellEnd"/>
      <w:r>
        <w:rPr>
          <w:shd w:val="clear" w:color="auto" w:fill="FFFFFF"/>
        </w:rPr>
        <w:t xml:space="preserve"> </w:t>
      </w:r>
      <w:r w:rsidR="00D4342C">
        <w:rPr>
          <w:shd w:val="clear" w:color="auto" w:fill="FFFFFF"/>
        </w:rPr>
        <w:t>an anderem Broker</w:t>
      </w:r>
      <w:r>
        <w:rPr>
          <w:shd w:val="clear" w:color="auto" w:fill="FFFFFF"/>
        </w:rPr>
        <w:t xml:space="preserve"> mittels einer Brücke weiter.</w:t>
      </w:r>
    </w:p>
    <w:p w14:paraId="2EB818D7" w14:textId="674AA43A" w:rsidR="00863FBC" w:rsidRDefault="00CF5AB6" w:rsidP="00736842">
      <w:pPr>
        <w:pStyle w:val="Grundtext"/>
      </w:pPr>
      <w:r>
        <w:rPr>
          <w:noProof/>
        </w:rPr>
        <w:drawing>
          <wp:inline distT="0" distB="0" distL="0" distR="0" wp14:anchorId="22AF89FA" wp14:editId="434D0A92">
            <wp:extent cx="2876550" cy="1971675"/>
            <wp:effectExtent l="0" t="0" r="0"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76550" cy="1971675"/>
                    </a:xfrm>
                    <a:prstGeom prst="rect">
                      <a:avLst/>
                    </a:prstGeom>
                  </pic:spPr>
                </pic:pic>
              </a:graphicData>
            </a:graphic>
          </wp:inline>
        </w:drawing>
      </w:r>
    </w:p>
    <w:p w14:paraId="358B3444" w14:textId="77777777" w:rsidR="00D4342C" w:rsidRDefault="00D4342C" w:rsidP="00736842">
      <w:pPr>
        <w:pStyle w:val="Grundtext"/>
      </w:pPr>
    </w:p>
    <w:p w14:paraId="30FC4D06" w14:textId="77777777" w:rsidR="00D4342C" w:rsidRPr="00736842" w:rsidRDefault="00D4342C" w:rsidP="00736842">
      <w:pPr>
        <w:pStyle w:val="Grundtext"/>
      </w:pPr>
    </w:p>
    <w:p w14:paraId="38F8A773" w14:textId="49EC512B" w:rsidR="00736842" w:rsidRPr="00D32402" w:rsidRDefault="00736842" w:rsidP="00D32402"/>
    <w:p w14:paraId="1B0546CD" w14:textId="2A2B8BDA" w:rsidR="00855FF1" w:rsidRDefault="00855FF1" w:rsidP="00855FF1">
      <w:pPr>
        <w:pStyle w:val="berschrift2"/>
      </w:pPr>
      <w:r w:rsidRPr="00855FF1">
        <w:t xml:space="preserve">Remote </w:t>
      </w:r>
      <w:proofErr w:type="spellStart"/>
      <w:r w:rsidRPr="00855FF1">
        <w:t>Procedure</w:t>
      </w:r>
      <w:proofErr w:type="spellEnd"/>
      <w:r w:rsidRPr="00855FF1">
        <w:t xml:space="preserve"> Call (R2)</w:t>
      </w:r>
    </w:p>
    <w:p w14:paraId="71A11360" w14:textId="62AA1483" w:rsidR="00072E0E" w:rsidRDefault="00072E0E" w:rsidP="00072E0E">
      <w:pPr>
        <w:rPr>
          <w:rFonts w:eastAsia="CorporateAPro-Regular"/>
        </w:rPr>
      </w:pPr>
      <w:r>
        <w:rPr>
          <w:rFonts w:eastAsia="CorporateAPro-Regular"/>
        </w:rPr>
        <w:t xml:space="preserve">Falls Sie Systeme </w:t>
      </w:r>
      <w:proofErr w:type="spellStart"/>
      <w:r>
        <w:rPr>
          <w:rFonts w:eastAsia="CorporateAPro-Regular"/>
        </w:rPr>
        <w:t>uber</w:t>
      </w:r>
      <w:proofErr w:type="spellEnd"/>
      <w:r>
        <w:rPr>
          <w:rFonts w:eastAsia="CorporateAPro-Regular"/>
        </w:rPr>
        <w:t xml:space="preserve"> Funktionen anstatt </w:t>
      </w:r>
      <w:r w:rsidR="00284558">
        <w:rPr>
          <w:rFonts w:eastAsia="CorporateAPro-Regular"/>
        </w:rPr>
        <w:t>über</w:t>
      </w:r>
      <w:r>
        <w:rPr>
          <w:rFonts w:eastAsia="CorporateAPro-Regular"/>
        </w:rPr>
        <w:t xml:space="preserve"> deren Daten integrieren mochten, stehen Ihnen die </w:t>
      </w:r>
      <w:r>
        <w:rPr>
          <w:rFonts w:ascii="CorporateAPro-RegularItalic" w:eastAsia="CorporateAPro-Regular" w:hAnsi="CorporateAPro-RegularItalic" w:cs="CorporateAPro-RegularItalic"/>
          <w:i/>
          <w:iCs/>
        </w:rPr>
        <w:t xml:space="preserve">Remote </w:t>
      </w:r>
      <w:proofErr w:type="spellStart"/>
      <w:r>
        <w:rPr>
          <w:rFonts w:ascii="CorporateAPro-RegularItalic" w:eastAsia="CorporateAPro-Regular" w:hAnsi="CorporateAPro-RegularItalic" w:cs="CorporateAPro-RegularItalic"/>
          <w:i/>
          <w:iCs/>
        </w:rPr>
        <w:t>Procedure</w:t>
      </w:r>
      <w:proofErr w:type="spellEnd"/>
      <w:r>
        <w:rPr>
          <w:rFonts w:ascii="CorporateAPro-RegularItalic" w:eastAsia="CorporateAPro-Regular" w:hAnsi="CorporateAPro-RegularItalic" w:cs="CorporateAPro-RegularItalic"/>
          <w:i/>
          <w:iCs/>
        </w:rPr>
        <w:t xml:space="preserve"> Calls </w:t>
      </w:r>
      <w:r>
        <w:rPr>
          <w:rFonts w:eastAsia="CorporateAPro-Regular"/>
        </w:rPr>
        <w:t xml:space="preserve">als Losungsansatz zur Verfügung. Konzeptionell bedeutet RPC den Aufruf einer Funktion auf einem (möglicherweise entfernt, das </w:t>
      </w:r>
      <w:proofErr w:type="spellStart"/>
      <w:r>
        <w:rPr>
          <w:rFonts w:eastAsia="CorporateAPro-Regular"/>
        </w:rPr>
        <w:t>heist</w:t>
      </w:r>
      <w:proofErr w:type="spellEnd"/>
      <w:r>
        <w:rPr>
          <w:rFonts w:eastAsia="CorporateAPro-Regular"/>
        </w:rPr>
        <w:t xml:space="preserve"> in einem anderen Prozessraum) ablaufenden Programm. Bild 7.17 zeigt das Vorgehen schematisch. Dort</w:t>
      </w:r>
    </w:p>
    <w:p w14:paraId="4B713FD0" w14:textId="538475CE" w:rsidR="00072E0E" w:rsidRDefault="00072E0E" w:rsidP="00072E0E">
      <w:pPr>
        <w:rPr>
          <w:rFonts w:eastAsia="CorporateAPro-Regular"/>
        </w:rPr>
      </w:pPr>
      <w:r>
        <w:rPr>
          <w:rFonts w:eastAsia="CorporateAPro-Regular"/>
        </w:rPr>
        <w:t>finden Sie zwei zentrale Begriffe, Stubs und Skeletons: Diese Komponenten wickeln für die</w:t>
      </w:r>
    </w:p>
    <w:p w14:paraId="52A9E4CE" w14:textId="77777777" w:rsidR="00072E0E" w:rsidRDefault="00072E0E" w:rsidP="00072E0E">
      <w:pPr>
        <w:rPr>
          <w:rFonts w:eastAsia="CorporateAPro-Regular"/>
        </w:rPr>
      </w:pPr>
      <w:r>
        <w:rPr>
          <w:rFonts w:eastAsia="CorporateAPro-Regular"/>
        </w:rPr>
        <w:t>beteiligten Systeme die Kommunikation mit dem entfernten Partnersystem ab.</w:t>
      </w:r>
    </w:p>
    <w:p w14:paraId="292F7FE7" w14:textId="1BA8352F" w:rsidR="002D0623" w:rsidRDefault="00072E0E" w:rsidP="00072E0E">
      <w:pPr>
        <w:rPr>
          <w:rFonts w:eastAsia="CorporateAPro-Regular"/>
        </w:rPr>
      </w:pPr>
      <w:r>
        <w:rPr>
          <w:rFonts w:eastAsia="CorporateAPro-Regular"/>
        </w:rPr>
        <w:t>Jedes beteiligte System verantwortet seine Daten selbst, was eine gute Kapselung bedeutet.</w:t>
      </w:r>
    </w:p>
    <w:p w14:paraId="1F0CFB48" w14:textId="5010BD44" w:rsidR="00072E0E" w:rsidRDefault="00072E0E" w:rsidP="00072E0E">
      <w:pPr>
        <w:rPr>
          <w:rFonts w:eastAsia="CorporateAPro-Regular"/>
        </w:rPr>
      </w:pPr>
    </w:p>
    <w:p w14:paraId="0CF1976A" w14:textId="60091BFC" w:rsidR="00072E0E" w:rsidRDefault="00F61DDF" w:rsidP="00072E0E">
      <w:pPr>
        <w:keepNext/>
      </w:pPr>
      <w:r>
        <w:rPr>
          <w:noProof/>
        </w:rPr>
        <w:t>Dz</w:t>
      </w:r>
      <w:r w:rsidR="00072E0E">
        <w:rPr>
          <w:noProof/>
        </w:rPr>
        <w:drawing>
          <wp:inline distT="0" distB="0" distL="0" distR="0" wp14:anchorId="6AE6A5D6" wp14:editId="2D74E4FA">
            <wp:extent cx="2257425" cy="1352550"/>
            <wp:effectExtent l="0" t="0" r="952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57425" cy="1352550"/>
                    </a:xfrm>
                    <a:prstGeom prst="rect">
                      <a:avLst/>
                    </a:prstGeom>
                  </pic:spPr>
                </pic:pic>
              </a:graphicData>
            </a:graphic>
          </wp:inline>
        </w:drawing>
      </w:r>
      <w:r w:rsidR="00072E0E">
        <w:t xml:space="preserve"> </w:t>
      </w:r>
    </w:p>
    <w:p w14:paraId="40F77CE7" w14:textId="7F6824F3" w:rsidR="00284558" w:rsidRDefault="00072E0E" w:rsidP="00284558">
      <w:pPr>
        <w:pStyle w:val="Beschriftung"/>
      </w:pPr>
      <w:r>
        <w:t xml:space="preserve">Abbildung </w:t>
      </w:r>
      <w:fldSimple w:instr=" SEQ Abbildung \* ARABIC ">
        <w:r w:rsidR="00984890">
          <w:rPr>
            <w:noProof/>
          </w:rPr>
          <w:t>7</w:t>
        </w:r>
      </w:fldSimple>
      <w:r>
        <w:t xml:space="preserve"> </w:t>
      </w:r>
      <w:r w:rsidR="00497F5F">
        <w:t>Remote</w:t>
      </w:r>
      <w:r>
        <w:t xml:space="preserve"> </w:t>
      </w:r>
      <w:proofErr w:type="spellStart"/>
      <w:r>
        <w:t>Procedure</w:t>
      </w:r>
      <w:proofErr w:type="spellEnd"/>
      <w:r>
        <w:t xml:space="preserve"> Call</w:t>
      </w:r>
    </w:p>
    <w:p w14:paraId="2639991B" w14:textId="13AA7FD7" w:rsidR="00F61DDF" w:rsidRPr="005F11A4" w:rsidRDefault="00F61DDF" w:rsidP="00F61DDF">
      <w:pPr>
        <w:rPr>
          <w:rFonts w:ascii="CorporateAPro-Regular" w:eastAsia="CorporateAPro-Regular" w:cs="CorporateAPro-Regular"/>
          <w:sz w:val="19"/>
          <w:szCs w:val="19"/>
        </w:rPr>
      </w:pPr>
      <w:r>
        <w:t xml:space="preserve">Stubs sind Proxys (Stellvertreter des Servers) auf der Client Seite. Skeleton sind Proxys (Stellvertreter des Clients) auf der Server Seite. </w:t>
      </w:r>
      <w:r w:rsidR="005F11A4" w:rsidRPr="005F11A4">
        <w:rPr>
          <w:rFonts w:eastAsia="CorporateAPro-Regular"/>
        </w:rPr>
        <w:t xml:space="preserve">Beide </w:t>
      </w:r>
      <w:r w:rsidRPr="005F11A4">
        <w:rPr>
          <w:rFonts w:eastAsia="CorporateAPro-Regular"/>
        </w:rPr>
        <w:t>verbergen</w:t>
      </w:r>
      <w:r w:rsidR="005F11A4" w:rsidRPr="005F11A4">
        <w:rPr>
          <w:rFonts w:eastAsia="CorporateAPro-Regular"/>
        </w:rPr>
        <w:t xml:space="preserve"> </w:t>
      </w:r>
      <w:r w:rsidRPr="005F11A4">
        <w:rPr>
          <w:rFonts w:eastAsia="CorporateAPro-Regular"/>
        </w:rPr>
        <w:t>alle technischen Details der Remote-Kommunikation, beispielsweise Serialisierung und</w:t>
      </w:r>
      <w:r w:rsidR="005F11A4" w:rsidRPr="005F11A4">
        <w:rPr>
          <w:rFonts w:eastAsia="CorporateAPro-Regular"/>
        </w:rPr>
        <w:t xml:space="preserve"> </w:t>
      </w:r>
      <w:r w:rsidRPr="005F11A4">
        <w:rPr>
          <w:rFonts w:eastAsia="CorporateAPro-Regular"/>
        </w:rPr>
        <w:t>Marshalling/</w:t>
      </w:r>
      <w:proofErr w:type="spellStart"/>
      <w:r w:rsidRPr="005F11A4">
        <w:rPr>
          <w:rFonts w:eastAsia="CorporateAPro-Regular"/>
        </w:rPr>
        <w:t>Unmarshalling</w:t>
      </w:r>
      <w:proofErr w:type="spellEnd"/>
      <w:r w:rsidRPr="005F11A4">
        <w:rPr>
          <w:rFonts w:eastAsia="CorporateAPro-Regular"/>
        </w:rPr>
        <w:t>.</w:t>
      </w:r>
      <w:r w:rsidR="00B56BBB">
        <w:rPr>
          <w:rFonts w:eastAsia="CorporateAPro-Regular"/>
        </w:rPr>
        <w:t xml:space="preserve"> </w:t>
      </w:r>
      <w:r w:rsidR="00B56BBB" w:rsidRPr="00B56BBB">
        <w:t>Marshalling ist das Umwandeln von strukturierten oder elementaren Daten in ein Format, das die Übermittlung an andere Prozesse oder Programme ermöglicht. </w:t>
      </w:r>
    </w:p>
    <w:p w14:paraId="6438A66B" w14:textId="77777777" w:rsidR="005F11A4" w:rsidRDefault="005F11A4" w:rsidP="00284558">
      <w:pPr>
        <w:rPr>
          <w:rFonts w:eastAsia="CorporateAPro-Regular"/>
        </w:rPr>
      </w:pPr>
    </w:p>
    <w:p w14:paraId="247A3225" w14:textId="68AAA528" w:rsidR="00284558" w:rsidRDefault="00284558" w:rsidP="00284558">
      <w:pPr>
        <w:rPr>
          <w:rFonts w:eastAsia="CorporateAPro-Regular"/>
        </w:rPr>
      </w:pPr>
      <w:r>
        <w:rPr>
          <w:rFonts w:eastAsia="CorporateAPro-Regular"/>
        </w:rPr>
        <w:t xml:space="preserve">Zu den möglichen Nachteilen von </w:t>
      </w:r>
      <w:r>
        <w:rPr>
          <w:rFonts w:ascii="CorporateAPro-RegularItalic" w:eastAsia="CorporateAPro-Regular" w:hAnsi="CorporateAPro-RegularItalic" w:cs="CorporateAPro-RegularItalic"/>
          <w:i/>
          <w:iCs/>
        </w:rPr>
        <w:t xml:space="preserve">Remote </w:t>
      </w:r>
      <w:proofErr w:type="spellStart"/>
      <w:r>
        <w:rPr>
          <w:rFonts w:ascii="CorporateAPro-RegularItalic" w:eastAsia="CorporateAPro-Regular" w:hAnsi="CorporateAPro-RegularItalic" w:cs="CorporateAPro-RegularItalic"/>
          <w:i/>
          <w:iCs/>
        </w:rPr>
        <w:t>Procedure</w:t>
      </w:r>
      <w:proofErr w:type="spellEnd"/>
      <w:r>
        <w:rPr>
          <w:rFonts w:ascii="CorporateAPro-RegularItalic" w:eastAsia="CorporateAPro-Regular" w:hAnsi="CorporateAPro-RegularItalic" w:cs="CorporateAPro-RegularItalic"/>
          <w:i/>
          <w:iCs/>
        </w:rPr>
        <w:t xml:space="preserve"> Calls </w:t>
      </w:r>
      <w:r>
        <w:rPr>
          <w:rFonts w:eastAsia="CorporateAPro-Regular"/>
        </w:rPr>
        <w:t>gehören folgende:</w:t>
      </w:r>
    </w:p>
    <w:p w14:paraId="758EED42" w14:textId="77777777" w:rsidR="005F11A4" w:rsidRDefault="005F11A4" w:rsidP="00284558">
      <w:pPr>
        <w:rPr>
          <w:rFonts w:eastAsia="CorporateAPro-Regular"/>
        </w:rPr>
      </w:pPr>
    </w:p>
    <w:p w14:paraId="7EE26FE2" w14:textId="72ABB533" w:rsidR="00284558" w:rsidRPr="00284558" w:rsidRDefault="00284558" w:rsidP="00284558">
      <w:pPr>
        <w:pStyle w:val="Listenabsatz"/>
        <w:numPr>
          <w:ilvl w:val="0"/>
          <w:numId w:val="31"/>
        </w:numPr>
        <w:rPr>
          <w:rFonts w:eastAsia="CorporateAPro-Regular"/>
        </w:rPr>
      </w:pPr>
      <w:r w:rsidRPr="00284558">
        <w:rPr>
          <w:rFonts w:eastAsia="CorporateAPro-Regular"/>
        </w:rPr>
        <w:t>Entfernte Funktionsaufrufe sind in Bezug auf Zeit- und Ressourcenbedarf um mehrere</w:t>
      </w:r>
    </w:p>
    <w:p w14:paraId="4FEB2504" w14:textId="28709E70" w:rsidR="00284558" w:rsidRDefault="00284558" w:rsidP="00284558">
      <w:pPr>
        <w:rPr>
          <w:rFonts w:eastAsia="CorporateAPro-Regular"/>
        </w:rPr>
      </w:pPr>
      <w:r>
        <w:rPr>
          <w:rFonts w:eastAsia="CorporateAPro-Regular"/>
        </w:rPr>
        <w:t>Größenordnungen teurer als lokale Aufrufe. In der Praxis fuhrt das teilweise zu gravierenden</w:t>
      </w:r>
    </w:p>
    <w:p w14:paraId="130DE386" w14:textId="77777777" w:rsidR="00F61DDF" w:rsidRDefault="00284558" w:rsidP="00284558">
      <w:pPr>
        <w:rPr>
          <w:rFonts w:eastAsia="CorporateAPro-Regular"/>
        </w:rPr>
      </w:pPr>
      <w:r>
        <w:rPr>
          <w:rFonts w:eastAsia="CorporateAPro-Regular"/>
        </w:rPr>
        <w:t>Performance-Problemen.</w:t>
      </w:r>
    </w:p>
    <w:p w14:paraId="40F72AC3" w14:textId="46812864" w:rsidR="00284558" w:rsidRPr="00F61DDF" w:rsidRDefault="00284558" w:rsidP="00284558">
      <w:pPr>
        <w:pStyle w:val="Listenabsatz"/>
        <w:numPr>
          <w:ilvl w:val="0"/>
          <w:numId w:val="31"/>
        </w:numPr>
        <w:rPr>
          <w:rFonts w:eastAsia="CorporateAPro-Regular"/>
        </w:rPr>
      </w:pPr>
      <w:r w:rsidRPr="00F61DDF">
        <w:rPr>
          <w:rFonts w:eastAsia="CorporateAPro-Regular"/>
        </w:rPr>
        <w:t>Es bedarf einer komplexen technischen Infrastruktur (Middleware), um entfernte Funktionsaufrufe</w:t>
      </w:r>
      <w:r w:rsidR="00F61DDF">
        <w:rPr>
          <w:rFonts w:eastAsia="CorporateAPro-Regular"/>
        </w:rPr>
        <w:t xml:space="preserve"> </w:t>
      </w:r>
      <w:r w:rsidRPr="00F61DDF">
        <w:rPr>
          <w:rFonts w:eastAsia="CorporateAPro-Regular"/>
        </w:rPr>
        <w:t>zu ermöglichen. Technologien wie CORBA und andere sind zwar stabil, performant</w:t>
      </w:r>
    </w:p>
    <w:p w14:paraId="65304910" w14:textId="5941C67A" w:rsidR="00284558" w:rsidRDefault="00284558" w:rsidP="00284558">
      <w:pPr>
        <w:rPr>
          <w:rFonts w:eastAsia="CorporateAPro-Regular"/>
        </w:rPr>
      </w:pPr>
      <w:r>
        <w:rPr>
          <w:rFonts w:eastAsia="CorporateAPro-Regular"/>
        </w:rPr>
        <w:t>und in der Praxis bewahrt, erhöhen jedoch die Komplexität von Systemen (und</w:t>
      </w:r>
    </w:p>
    <w:p w14:paraId="63D29C03" w14:textId="77777777" w:rsidR="00F61DDF" w:rsidRDefault="00284558" w:rsidP="00284558">
      <w:pPr>
        <w:rPr>
          <w:rFonts w:eastAsia="CorporateAPro-Regular"/>
        </w:rPr>
      </w:pPr>
      <w:r>
        <w:rPr>
          <w:rFonts w:eastAsia="CorporateAPro-Regular"/>
        </w:rPr>
        <w:t>Projekten) ganz erheblich.</w:t>
      </w:r>
    </w:p>
    <w:p w14:paraId="467B6270" w14:textId="2F6F81C8" w:rsidR="00284558" w:rsidRPr="00F61DDF" w:rsidRDefault="00284558" w:rsidP="00F61DDF">
      <w:pPr>
        <w:pStyle w:val="Listenabsatz"/>
        <w:numPr>
          <w:ilvl w:val="0"/>
          <w:numId w:val="31"/>
        </w:numPr>
        <w:rPr>
          <w:rFonts w:eastAsia="CorporateAPro-Regular"/>
        </w:rPr>
      </w:pPr>
      <w:r w:rsidRPr="00F61DDF">
        <w:rPr>
          <w:rFonts w:eastAsia="CorporateAPro-Regular"/>
        </w:rPr>
        <w:t>Durch die komplexe Hardware- und Softwareinfrastruktur von gekoppelten Systemen</w:t>
      </w:r>
    </w:p>
    <w:p w14:paraId="193637E8" w14:textId="04A6EDD7" w:rsidR="00F61DDF" w:rsidRDefault="00F61DDF" w:rsidP="00284558">
      <w:pPr>
        <w:rPr>
          <w:rFonts w:eastAsia="CorporateAPro-Regular"/>
        </w:rPr>
      </w:pPr>
      <w:r>
        <w:rPr>
          <w:rFonts w:eastAsia="CorporateAPro-Regular"/>
        </w:rPr>
        <w:t>gefährden</w:t>
      </w:r>
      <w:r w:rsidR="00284558">
        <w:rPr>
          <w:rFonts w:eastAsia="CorporateAPro-Regular"/>
        </w:rPr>
        <w:t xml:space="preserve"> viele potenzielle Fehlerquellen den </w:t>
      </w:r>
      <w:r>
        <w:rPr>
          <w:rFonts w:eastAsia="CorporateAPro-Regular"/>
        </w:rPr>
        <w:t>ordnungsgemäßen</w:t>
      </w:r>
      <w:r w:rsidR="00284558">
        <w:rPr>
          <w:rFonts w:eastAsia="CorporateAPro-Regular"/>
        </w:rPr>
        <w:t xml:space="preserve"> Gesamtablauf.</w:t>
      </w:r>
    </w:p>
    <w:p w14:paraId="394E27F0" w14:textId="77777777" w:rsidR="00F61DDF" w:rsidRDefault="00284558" w:rsidP="00284558">
      <w:pPr>
        <w:pStyle w:val="Listenabsatz"/>
        <w:numPr>
          <w:ilvl w:val="0"/>
          <w:numId w:val="31"/>
        </w:numPr>
        <w:rPr>
          <w:rFonts w:eastAsia="CorporateAPro-Regular"/>
        </w:rPr>
      </w:pPr>
      <w:r w:rsidRPr="00F61DDF">
        <w:rPr>
          <w:rFonts w:eastAsia="CorporateAPro-Regular"/>
        </w:rPr>
        <w:t>Enge Kopplung zwischen den beteiligten Systemen:</w:t>
      </w:r>
    </w:p>
    <w:p w14:paraId="6FA39F97" w14:textId="5C59DA0F" w:rsidR="00284558" w:rsidRPr="00F61DDF" w:rsidRDefault="00F61DDF" w:rsidP="00284558">
      <w:pPr>
        <w:pStyle w:val="Listenabsatz"/>
        <w:numPr>
          <w:ilvl w:val="0"/>
          <w:numId w:val="31"/>
        </w:numPr>
        <w:rPr>
          <w:rFonts w:eastAsia="CorporateAPro-Regular"/>
        </w:rPr>
      </w:pPr>
      <w:r w:rsidRPr="00F61DDF">
        <w:rPr>
          <w:rFonts w:eastAsia="CorporateAPro-Regular"/>
        </w:rPr>
        <w:t>Mögliche</w:t>
      </w:r>
      <w:r w:rsidR="00284558" w:rsidRPr="00F61DDF">
        <w:rPr>
          <w:rFonts w:eastAsia="CorporateAPro-Regular"/>
        </w:rPr>
        <w:t xml:space="preserve"> Blockierung: Wenn das aufgerufene System nicht oder nur sehr langsam</w:t>
      </w:r>
    </w:p>
    <w:p w14:paraId="7D0CBA59" w14:textId="77777777" w:rsidR="00F61DDF" w:rsidRDefault="00284558" w:rsidP="00284558">
      <w:pPr>
        <w:rPr>
          <w:rFonts w:eastAsia="CorporateAPro-Regular"/>
        </w:rPr>
      </w:pPr>
      <w:r>
        <w:rPr>
          <w:rFonts w:eastAsia="CorporateAPro-Regular"/>
        </w:rPr>
        <w:t>antwortet, kann es zu Blockierung im Aufrufer kommen, weil der im Regelfall wartet,</w:t>
      </w:r>
      <w:r w:rsidR="00F61DDF">
        <w:rPr>
          <w:rFonts w:eastAsia="CorporateAPro-Regular"/>
        </w:rPr>
        <w:t xml:space="preserve"> </w:t>
      </w:r>
      <w:r>
        <w:rPr>
          <w:rFonts w:eastAsia="CorporateAPro-Regular"/>
        </w:rPr>
        <w:t>bis die Antwort vorliegt.</w:t>
      </w:r>
    </w:p>
    <w:p w14:paraId="1B277302" w14:textId="764BDCF5" w:rsidR="00284558" w:rsidRPr="00F61DDF" w:rsidRDefault="00284558" w:rsidP="00F61DDF">
      <w:pPr>
        <w:pStyle w:val="Listenabsatz"/>
        <w:numPr>
          <w:ilvl w:val="0"/>
          <w:numId w:val="32"/>
        </w:numPr>
        <w:rPr>
          <w:rFonts w:eastAsia="CorporateAPro-Regular"/>
        </w:rPr>
      </w:pPr>
      <w:r w:rsidRPr="00F61DDF">
        <w:rPr>
          <w:rFonts w:eastAsia="CorporateAPro-Regular"/>
        </w:rPr>
        <w:t xml:space="preserve">Eine </w:t>
      </w:r>
      <w:r w:rsidR="00F61DDF" w:rsidRPr="00F61DDF">
        <w:rPr>
          <w:rFonts w:eastAsia="CorporateAPro-Regular"/>
        </w:rPr>
        <w:t>Schnittstellen Änderung</w:t>
      </w:r>
      <w:r w:rsidRPr="00F61DDF">
        <w:rPr>
          <w:rFonts w:eastAsia="CorporateAPro-Regular"/>
        </w:rPr>
        <w:t xml:space="preserve"> im aufgerufenen System hat </w:t>
      </w:r>
      <w:r w:rsidR="00F61DDF" w:rsidRPr="00F61DDF">
        <w:rPr>
          <w:rFonts w:eastAsia="CorporateAPro-Regular"/>
        </w:rPr>
        <w:t>möglicherweise</w:t>
      </w:r>
      <w:r w:rsidRPr="00F61DDF">
        <w:rPr>
          <w:rFonts w:eastAsia="CorporateAPro-Regular"/>
        </w:rPr>
        <w:t xml:space="preserve"> Konsequenzen</w:t>
      </w:r>
    </w:p>
    <w:p w14:paraId="7DB75D19" w14:textId="0730F53E" w:rsidR="00284558" w:rsidRDefault="00284558" w:rsidP="00284558">
      <w:pPr>
        <w:rPr>
          <w:rFonts w:eastAsia="CorporateAPro-Regular"/>
        </w:rPr>
      </w:pPr>
      <w:r>
        <w:rPr>
          <w:rFonts w:eastAsia="CorporateAPro-Regular"/>
        </w:rPr>
        <w:t xml:space="preserve">im Aufrufer. Dadurch besteht das Risiko, dass </w:t>
      </w:r>
      <w:r w:rsidR="00F61DDF">
        <w:rPr>
          <w:rFonts w:eastAsia="CorporateAPro-Regular"/>
        </w:rPr>
        <w:t>Ä</w:t>
      </w:r>
      <w:r>
        <w:rPr>
          <w:rFonts w:eastAsia="CorporateAPro-Regular"/>
        </w:rPr>
        <w:t>nderungen nichtlokale Auswirkungen</w:t>
      </w:r>
      <w:r w:rsidR="00F61DDF">
        <w:rPr>
          <w:rFonts w:eastAsia="CorporateAPro-Regular"/>
        </w:rPr>
        <w:t xml:space="preserve"> </w:t>
      </w:r>
      <w:r>
        <w:rPr>
          <w:rFonts w:eastAsia="CorporateAPro-Regular"/>
        </w:rPr>
        <w:t xml:space="preserve">nach sich ziehen. In der schematischen Abbildung </w:t>
      </w:r>
      <w:r w:rsidR="00F61DDF">
        <w:rPr>
          <w:rFonts w:eastAsia="CorporateAPro-Regular"/>
        </w:rPr>
        <w:t>müssen</w:t>
      </w:r>
      <w:r>
        <w:rPr>
          <w:rFonts w:eastAsia="CorporateAPro-Regular"/>
        </w:rPr>
        <w:t xml:space="preserve"> Sie bei </w:t>
      </w:r>
      <w:r w:rsidR="00F61DDF">
        <w:rPr>
          <w:rFonts w:eastAsia="CorporateAPro-Regular"/>
        </w:rPr>
        <w:t>Änderungen</w:t>
      </w:r>
      <w:r>
        <w:rPr>
          <w:rFonts w:eastAsia="CorporateAPro-Regular"/>
        </w:rPr>
        <w:t xml:space="preserve"> am</w:t>
      </w:r>
      <w:r w:rsidR="00F61DDF">
        <w:rPr>
          <w:rFonts w:eastAsia="CorporateAPro-Regular"/>
        </w:rPr>
        <w:t xml:space="preserve"> System B, stets auch System A testen</w:t>
      </w:r>
    </w:p>
    <w:p w14:paraId="7C3CED2A" w14:textId="48635374" w:rsidR="005F11A4" w:rsidRDefault="005F11A4" w:rsidP="00284558">
      <w:pPr>
        <w:rPr>
          <w:rFonts w:eastAsia="CorporateAPro-Regular"/>
        </w:rPr>
      </w:pPr>
    </w:p>
    <w:p w14:paraId="258551E6" w14:textId="23A717AC" w:rsidR="005F11A4" w:rsidRPr="00F61DDF" w:rsidRDefault="005F11A4" w:rsidP="00284558">
      <w:pPr>
        <w:rPr>
          <w:rFonts w:eastAsia="CorporateAPro-Regular"/>
        </w:rPr>
      </w:pPr>
      <w:r>
        <w:rPr>
          <w:rFonts w:eastAsia="CorporateAPro-Regular"/>
        </w:rPr>
        <w:t>Quelle Effektive Softwarearchitekturen 8. Auflage Kapitel 7.3.3</w:t>
      </w:r>
    </w:p>
    <w:p w14:paraId="3479E81C" w14:textId="6DC0A3F4" w:rsidR="00855FF1" w:rsidRDefault="00855FF1" w:rsidP="00855FF1">
      <w:pPr>
        <w:pStyle w:val="berschrift2"/>
      </w:pPr>
      <w:r w:rsidRPr="00855FF1">
        <w:lastRenderedPageBreak/>
        <w:t xml:space="preserve">Messaging (R2), z.B. mit Events und </w:t>
      </w:r>
      <w:proofErr w:type="spellStart"/>
      <w:r w:rsidRPr="00855FF1">
        <w:t>Commands</w:t>
      </w:r>
      <w:proofErr w:type="spellEnd"/>
    </w:p>
    <w:p w14:paraId="125EB99C" w14:textId="60571903" w:rsidR="00A535DB" w:rsidRPr="00A535DB" w:rsidRDefault="00A535DB" w:rsidP="00A535DB">
      <w:pPr>
        <w:pStyle w:val="Grundtext"/>
      </w:pPr>
      <w:r>
        <w:t>Quelle Effektive Softwarearchitekturen, 8. Auflage Kapitel 4.5.5</w:t>
      </w:r>
    </w:p>
    <w:p w14:paraId="3EC02B0C" w14:textId="227FD599" w:rsidR="001314D6" w:rsidRDefault="00A535DB" w:rsidP="00A535DB">
      <w:pPr>
        <w:rPr>
          <w:rFonts w:eastAsia="CorporateAPro-Regular"/>
        </w:rPr>
      </w:pPr>
      <w:r>
        <w:rPr>
          <w:rFonts w:eastAsia="CorporateAPro-Regular"/>
        </w:rPr>
        <w:t>Systeme auf Basis von Ereignissen (Events) bestehen grundsätzlich aus zwei Arten von Bausteinen: Ereignisquellen und -senken (</w:t>
      </w:r>
      <w:r>
        <w:rPr>
          <w:rFonts w:ascii="CorporateAPro-RegularItalic" w:eastAsia="CorporateAPro-Regular" w:hAnsi="CorporateAPro-RegularItalic" w:cs="CorporateAPro-RegularItalic"/>
          <w:i/>
          <w:iCs/>
        </w:rPr>
        <w:t xml:space="preserve">Event-Sources </w:t>
      </w:r>
      <w:r>
        <w:rPr>
          <w:rFonts w:eastAsia="CorporateAPro-Regular"/>
        </w:rPr>
        <w:t xml:space="preserve">und </w:t>
      </w:r>
      <w:r>
        <w:rPr>
          <w:rFonts w:ascii="CorporateAPro-RegularItalic" w:eastAsia="CorporateAPro-Regular" w:hAnsi="CorporateAPro-RegularItalic" w:cs="CorporateAPro-RegularItalic"/>
          <w:i/>
          <w:iCs/>
        </w:rPr>
        <w:t>Event-</w:t>
      </w:r>
      <w:proofErr w:type="spellStart"/>
      <w:r>
        <w:rPr>
          <w:rFonts w:ascii="CorporateAPro-RegularItalic" w:eastAsia="CorporateAPro-Regular" w:hAnsi="CorporateAPro-RegularItalic" w:cs="CorporateAPro-RegularItalic"/>
          <w:i/>
          <w:iCs/>
        </w:rPr>
        <w:t>Sinks</w:t>
      </w:r>
      <w:proofErr w:type="spellEnd"/>
      <w:r>
        <w:rPr>
          <w:rFonts w:eastAsia="CorporateAPro-Regular"/>
        </w:rPr>
        <w:t>). Quellen und Senken kommunizieren in diesem Stil Uber Ereignisse anstatt im Quellcode verankerte Abhängigkeiten</w:t>
      </w:r>
      <w:r w:rsidR="001C110A">
        <w:rPr>
          <w:rFonts w:eastAsia="CorporateAPro-Regular"/>
        </w:rPr>
        <w:t xml:space="preserve"> </w:t>
      </w:r>
      <w:r>
        <w:rPr>
          <w:rFonts w:eastAsia="CorporateAPro-Regular"/>
        </w:rPr>
        <w:t>miteinander. Die Kommunik</w:t>
      </w:r>
      <w:r w:rsidR="001C110A">
        <w:rPr>
          <w:rFonts w:eastAsia="CorporateAPro-Regular"/>
        </w:rPr>
        <w:t>a</w:t>
      </w:r>
      <w:r>
        <w:rPr>
          <w:rFonts w:eastAsia="CorporateAPro-Regular"/>
        </w:rPr>
        <w:t>tionsbeziehung arbeitet unidirektional von Ereignisquelle</w:t>
      </w:r>
      <w:r w:rsidR="001C110A">
        <w:rPr>
          <w:rFonts w:eastAsia="CorporateAPro-Regular"/>
        </w:rPr>
        <w:t xml:space="preserve"> </w:t>
      </w:r>
      <w:r>
        <w:rPr>
          <w:rFonts w:eastAsia="CorporateAPro-Regular"/>
        </w:rPr>
        <w:t xml:space="preserve">zu -senke </w:t>
      </w:r>
      <w:r>
        <w:rPr>
          <w:rFonts w:eastAsia="CorporateAPro-Regular" w:hint="eastAsia"/>
        </w:rPr>
        <w:t>–</w:t>
      </w:r>
      <w:r>
        <w:rPr>
          <w:rFonts w:eastAsia="CorporateAPro-Regular"/>
        </w:rPr>
        <w:t xml:space="preserve"> diese Beziehungen werden in </w:t>
      </w:r>
      <w:r w:rsidR="001C110A">
        <w:rPr>
          <w:rFonts w:eastAsia="CorporateAPro-Regular"/>
        </w:rPr>
        <w:t>der Regel</w:t>
      </w:r>
      <w:r>
        <w:rPr>
          <w:rFonts w:eastAsia="CorporateAPro-Regular"/>
        </w:rPr>
        <w:t xml:space="preserve"> erst zur Laufzeit hergestellt. Weil so</w:t>
      </w:r>
      <w:r w:rsidR="001C110A">
        <w:rPr>
          <w:rFonts w:eastAsia="CorporateAPro-Regular"/>
        </w:rPr>
        <w:t xml:space="preserve"> </w:t>
      </w:r>
      <w:r>
        <w:rPr>
          <w:rFonts w:eastAsia="CorporateAPro-Regular"/>
        </w:rPr>
        <w:t xml:space="preserve">keine direkten Aufrufe implementiert werden, </w:t>
      </w:r>
      <w:proofErr w:type="spellStart"/>
      <w:r>
        <w:rPr>
          <w:rFonts w:eastAsia="CorporateAPro-Regular"/>
        </w:rPr>
        <w:t>heist</w:t>
      </w:r>
      <w:proofErr w:type="spellEnd"/>
      <w:r>
        <w:rPr>
          <w:rFonts w:eastAsia="CorporateAPro-Regular"/>
        </w:rPr>
        <w:t xml:space="preserve"> dieser Stil auch </w:t>
      </w:r>
      <w:proofErr w:type="spellStart"/>
      <w:r>
        <w:rPr>
          <w:rFonts w:ascii="CorporateAPro-RegularItalic" w:eastAsia="CorporateAPro-Regular" w:hAnsi="CorporateAPro-RegularItalic" w:cs="CorporateAPro-RegularItalic"/>
          <w:i/>
          <w:iCs/>
        </w:rPr>
        <w:t>implicit</w:t>
      </w:r>
      <w:proofErr w:type="spellEnd"/>
      <w:r>
        <w:rPr>
          <w:rFonts w:ascii="CorporateAPro-RegularItalic" w:eastAsia="CorporateAPro-Regular" w:hAnsi="CorporateAPro-RegularItalic" w:cs="CorporateAPro-RegularItalic"/>
          <w:i/>
          <w:iCs/>
        </w:rPr>
        <w:t xml:space="preserve"> </w:t>
      </w:r>
      <w:proofErr w:type="spellStart"/>
      <w:r>
        <w:rPr>
          <w:rFonts w:ascii="CorporateAPro-RegularItalic" w:eastAsia="CorporateAPro-Regular" w:hAnsi="CorporateAPro-RegularItalic" w:cs="CorporateAPro-RegularItalic"/>
          <w:i/>
          <w:iCs/>
        </w:rPr>
        <w:t>invocation</w:t>
      </w:r>
      <w:proofErr w:type="spellEnd"/>
      <w:r>
        <w:rPr>
          <w:rFonts w:ascii="CorporateAPro-RegularItalic" w:eastAsia="CorporateAPro-Regular" w:hAnsi="CorporateAPro-RegularItalic" w:cs="CorporateAPro-RegularItalic"/>
          <w:i/>
          <w:iCs/>
        </w:rPr>
        <w:t xml:space="preserve"> style</w:t>
      </w:r>
      <w:r>
        <w:rPr>
          <w:rFonts w:eastAsia="CorporateAPro-Regular"/>
        </w:rPr>
        <w:t>.</w:t>
      </w:r>
    </w:p>
    <w:p w14:paraId="1D3211A5" w14:textId="24DBB039" w:rsidR="00707969" w:rsidRDefault="00707969" w:rsidP="00A535DB">
      <w:pPr>
        <w:rPr>
          <w:rFonts w:eastAsia="CorporateAPro-Regular"/>
        </w:rPr>
      </w:pPr>
    </w:p>
    <w:p w14:paraId="1B0446E9" w14:textId="51016A11" w:rsidR="00707969" w:rsidRDefault="00707969" w:rsidP="00707969">
      <w:pPr>
        <w:pStyle w:val="berschrift3"/>
        <w:rPr>
          <w:rFonts w:eastAsia="CorporateAPro-Regular"/>
        </w:rPr>
      </w:pPr>
      <w:proofErr w:type="spellStart"/>
      <w:r>
        <w:rPr>
          <w:rFonts w:eastAsia="CorporateAPro-Regular"/>
        </w:rPr>
        <w:t>Ungepufferte</w:t>
      </w:r>
      <w:proofErr w:type="spellEnd"/>
      <w:r>
        <w:rPr>
          <w:rFonts w:eastAsia="CorporateAPro-Regular"/>
        </w:rPr>
        <w:t xml:space="preserve"> Event-Kommunikation</w:t>
      </w:r>
    </w:p>
    <w:p w14:paraId="1DBC10B8" w14:textId="407CC507" w:rsidR="00895883" w:rsidRDefault="00895883" w:rsidP="00895883">
      <w:pPr>
        <w:rPr>
          <w:rFonts w:eastAsia="CorporateAPro-Regular"/>
          <w:sz w:val="11"/>
          <w:szCs w:val="11"/>
        </w:rPr>
      </w:pPr>
      <w:r>
        <w:rPr>
          <w:rFonts w:eastAsia="CorporateAPro-Regular"/>
        </w:rPr>
        <w:t xml:space="preserve">In der </w:t>
      </w:r>
      <w:r>
        <w:rPr>
          <w:rFonts w:ascii="CorporateAPro-RegularItalic" w:eastAsia="CorporateAPro-Regular" w:hAnsi="CorporateAPro-RegularItalic" w:cs="CorporateAPro-RegularItalic"/>
          <w:i/>
          <w:iCs/>
        </w:rPr>
        <w:t>broadcast</w:t>
      </w:r>
      <w:r>
        <w:rPr>
          <w:rFonts w:eastAsia="CorporateAPro-Regular"/>
        </w:rPr>
        <w:t>-Variante ereignisbasierter Systeme publiziert eine Event-Source Ereignisse auf einem lokalen Netzwerk. Alle verbundenen Empfänger prüfen jedes Ereignis, ob es für den jeweiligen Empfänger interessant ist: Falls ja, wird das Ereignis bearbeitet, falls nein, wird es ignoriert</w:t>
      </w:r>
      <w:r>
        <w:rPr>
          <w:rFonts w:eastAsia="CorporateAPro-Regular"/>
          <w:sz w:val="11"/>
          <w:szCs w:val="11"/>
        </w:rPr>
        <w:t>.</w:t>
      </w:r>
    </w:p>
    <w:p w14:paraId="0D9F79C8" w14:textId="3A0FB823" w:rsidR="00895883" w:rsidRDefault="00895883" w:rsidP="00895883">
      <w:pPr>
        <w:rPr>
          <w:rFonts w:eastAsia="CorporateAPro-Regular"/>
          <w:sz w:val="11"/>
          <w:szCs w:val="11"/>
        </w:rPr>
      </w:pPr>
    </w:p>
    <w:p w14:paraId="49725EF5" w14:textId="77777777" w:rsidR="00895883" w:rsidRDefault="00895883" w:rsidP="00895883">
      <w:pPr>
        <w:keepNext/>
      </w:pPr>
      <w:r>
        <w:rPr>
          <w:noProof/>
        </w:rPr>
        <w:drawing>
          <wp:inline distT="0" distB="0" distL="0" distR="0" wp14:anchorId="6E0CAE80" wp14:editId="778F61A1">
            <wp:extent cx="3257550" cy="1781175"/>
            <wp:effectExtent l="0" t="0" r="0"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57550" cy="1781175"/>
                    </a:xfrm>
                    <a:prstGeom prst="rect">
                      <a:avLst/>
                    </a:prstGeom>
                  </pic:spPr>
                </pic:pic>
              </a:graphicData>
            </a:graphic>
          </wp:inline>
        </w:drawing>
      </w:r>
    </w:p>
    <w:p w14:paraId="0817DF53" w14:textId="5FEA9DA2" w:rsidR="00895883" w:rsidRDefault="00895883" w:rsidP="00895883">
      <w:pPr>
        <w:pStyle w:val="Beschriftung"/>
        <w:rPr>
          <w:rFonts w:eastAsia="CorporateAPro-Regular"/>
        </w:rPr>
      </w:pPr>
      <w:r>
        <w:t xml:space="preserve">Abbildung </w:t>
      </w:r>
      <w:fldSimple w:instr=" SEQ Abbildung \* ARABIC ">
        <w:r w:rsidR="00984890">
          <w:rPr>
            <w:noProof/>
          </w:rPr>
          <w:t>8</w:t>
        </w:r>
      </w:fldSimple>
      <w:r>
        <w:t xml:space="preserve"> Bausteine </w:t>
      </w:r>
      <w:proofErr w:type="spellStart"/>
      <w:r>
        <w:t>ungepufferter</w:t>
      </w:r>
      <w:proofErr w:type="spellEnd"/>
      <w:r>
        <w:t xml:space="preserve"> Event Kommunikation</w:t>
      </w:r>
    </w:p>
    <w:p w14:paraId="26ECA6AD" w14:textId="77777777" w:rsidR="00895883" w:rsidRDefault="00895883" w:rsidP="00895883">
      <w:pPr>
        <w:rPr>
          <w:rFonts w:eastAsia="CorporateAPro-Regular"/>
        </w:rPr>
      </w:pPr>
    </w:p>
    <w:p w14:paraId="3E4EF221" w14:textId="724447A0" w:rsidR="00895883" w:rsidRPr="00895883" w:rsidRDefault="00895883" w:rsidP="00895883">
      <w:pPr>
        <w:rPr>
          <w:rFonts w:eastAsia="CorporateAPro-Regular"/>
        </w:rPr>
      </w:pPr>
      <w:r>
        <w:rPr>
          <w:rFonts w:eastAsia="CorporateAPro-Regular"/>
        </w:rPr>
        <w:t>Alternativ können sich Empfänger von Ereignissen (</w:t>
      </w:r>
      <w:r>
        <w:rPr>
          <w:rFonts w:ascii="CorporateAPro-RegularItalic" w:eastAsia="CorporateAPro-Regular" w:hAnsi="CorporateAPro-RegularItalic" w:cs="CorporateAPro-RegularItalic"/>
          <w:i/>
          <w:iCs/>
        </w:rPr>
        <w:t>Subscriber</w:t>
      </w:r>
      <w:r>
        <w:rPr>
          <w:rFonts w:eastAsia="CorporateAPro-Regular"/>
        </w:rPr>
        <w:t>) bei den Sendern (</w:t>
      </w:r>
      <w:r>
        <w:rPr>
          <w:rFonts w:ascii="CorporateAPro-RegularItalic" w:eastAsia="CorporateAPro-Regular" w:hAnsi="CorporateAPro-RegularItalic" w:cs="CorporateAPro-RegularItalic"/>
          <w:i/>
          <w:iCs/>
        </w:rPr>
        <w:t>Publisher</w:t>
      </w:r>
      <w:r>
        <w:rPr>
          <w:rFonts w:eastAsia="CorporateAPro-Regular"/>
        </w:rPr>
        <w:t>) registrieren. Sender übermitteln Ereignisse in diesem Fall direkt an Subscriber.</w:t>
      </w:r>
    </w:p>
    <w:p w14:paraId="182F43D5" w14:textId="5D1A3600" w:rsidR="00984890" w:rsidRDefault="00707969" w:rsidP="00984890">
      <w:pPr>
        <w:pStyle w:val="berschrift3"/>
        <w:rPr>
          <w:rFonts w:eastAsia="CorporateAPro-Regular"/>
        </w:rPr>
      </w:pPr>
      <w:r>
        <w:rPr>
          <w:rFonts w:eastAsia="CorporateAPro-Regular"/>
        </w:rPr>
        <w:t xml:space="preserve">Message- oder Event Queue </w:t>
      </w:r>
      <w:proofErr w:type="spellStart"/>
      <w:r>
        <w:rPr>
          <w:rFonts w:eastAsia="CorporateAPro-Regular"/>
        </w:rPr>
        <w:t>Architekture</w:t>
      </w:r>
      <w:proofErr w:type="spellEnd"/>
    </w:p>
    <w:p w14:paraId="6CB24AE4" w14:textId="6C3361A5" w:rsidR="00984890" w:rsidRDefault="00984890" w:rsidP="00984890">
      <w:pPr>
        <w:rPr>
          <w:rFonts w:eastAsia="CorporateAPro-Regular"/>
        </w:rPr>
      </w:pPr>
      <w:r>
        <w:rPr>
          <w:rFonts w:eastAsia="CorporateAPro-Regular"/>
        </w:rPr>
        <w:t>Die direkte Verbindung zwischen Sendern und Empfängern von Events wird im Architekturstil</w:t>
      </w:r>
    </w:p>
    <w:p w14:paraId="5196956F" w14:textId="25F9B890" w:rsidR="00984890" w:rsidRPr="00984890" w:rsidRDefault="00984890" w:rsidP="00984890">
      <w:pPr>
        <w:rPr>
          <w:rFonts w:eastAsia="CorporateAPro-Regular"/>
        </w:rPr>
      </w:pPr>
      <w:r>
        <w:rPr>
          <w:rFonts w:eastAsia="CorporateAPro-Regular"/>
        </w:rPr>
        <w:t xml:space="preserve">der </w:t>
      </w:r>
      <w:r>
        <w:rPr>
          <w:rFonts w:eastAsia="CorporateAPro-Regular" w:hint="eastAsia"/>
        </w:rPr>
        <w:t>„</w:t>
      </w:r>
      <w:r>
        <w:rPr>
          <w:rFonts w:eastAsia="CorporateAPro-Regular"/>
        </w:rPr>
        <w:t>Message- oder Event-Queue-Systeme</w:t>
      </w:r>
      <w:r>
        <w:rPr>
          <w:rFonts w:eastAsia="CorporateAPro-Regular" w:hint="eastAsia"/>
        </w:rPr>
        <w:t>“</w:t>
      </w:r>
      <w:r>
        <w:rPr>
          <w:rFonts w:eastAsia="CorporateAPro-Regular"/>
        </w:rPr>
        <w:t xml:space="preserve"> um Puffer (Warteschlangen) ergänzt.</w:t>
      </w:r>
    </w:p>
    <w:p w14:paraId="33636A09" w14:textId="33CE9B79" w:rsidR="00984890" w:rsidRPr="00984890" w:rsidRDefault="00984890" w:rsidP="00984890">
      <w:pPr>
        <w:pStyle w:val="berschrift3"/>
        <w:numPr>
          <w:ilvl w:val="0"/>
          <w:numId w:val="0"/>
        </w:numPr>
        <w:ind w:left="851" w:hanging="851"/>
        <w:rPr>
          <w:rFonts w:eastAsia="CorporateAPro-Regular"/>
        </w:rPr>
      </w:pPr>
      <w:r>
        <w:rPr>
          <w:noProof/>
        </w:rPr>
        <w:drawing>
          <wp:inline distT="0" distB="0" distL="0" distR="0" wp14:anchorId="22BBD818" wp14:editId="1B5DC88B">
            <wp:extent cx="3314700" cy="1247775"/>
            <wp:effectExtent l="0" t="0" r="0"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14700" cy="1247775"/>
                    </a:xfrm>
                    <a:prstGeom prst="rect">
                      <a:avLst/>
                    </a:prstGeom>
                  </pic:spPr>
                </pic:pic>
              </a:graphicData>
            </a:graphic>
          </wp:inline>
        </w:drawing>
      </w:r>
    </w:p>
    <w:p w14:paraId="3A4B7F8C" w14:textId="782A2388" w:rsidR="00984890" w:rsidRDefault="00984890" w:rsidP="00984890">
      <w:pPr>
        <w:pStyle w:val="Beschriftung"/>
        <w:jc w:val="both"/>
      </w:pPr>
      <w:r>
        <w:t xml:space="preserve">Abbildung </w:t>
      </w:r>
      <w:fldSimple w:instr=" SEQ Abbildung \* ARABIC ">
        <w:r>
          <w:rPr>
            <w:noProof/>
          </w:rPr>
          <w:t>9</w:t>
        </w:r>
      </w:fldSimple>
      <w:r>
        <w:t xml:space="preserve"> Message Queue Puffer für Nachrichten und Events</w:t>
      </w:r>
    </w:p>
    <w:p w14:paraId="21A2307E" w14:textId="77777777" w:rsidR="00984890" w:rsidRDefault="00984890" w:rsidP="00984890">
      <w:pPr>
        <w:rPr>
          <w:rFonts w:eastAsia="CorporateAPro-Regular"/>
        </w:rPr>
      </w:pPr>
      <w:r>
        <w:rPr>
          <w:rFonts w:eastAsia="CorporateAPro-Regular"/>
        </w:rPr>
        <w:lastRenderedPageBreak/>
        <w:t xml:space="preserve">Ein Erzeuger von Nachrichten schickt diese an die Queue, aus der Empfänger sie entweder synchron oder asynchron abholen. Diese Struktur wird manchmal als </w:t>
      </w:r>
      <w:proofErr w:type="spellStart"/>
      <w:r>
        <w:rPr>
          <w:rFonts w:eastAsia="CorporateAPro-Regular"/>
        </w:rPr>
        <w:t>fire</w:t>
      </w:r>
      <w:proofErr w:type="spellEnd"/>
      <w:r>
        <w:rPr>
          <w:rFonts w:eastAsia="CorporateAPro-Regular"/>
        </w:rPr>
        <w:t>-and-</w:t>
      </w:r>
      <w:proofErr w:type="spellStart"/>
      <w:r>
        <w:rPr>
          <w:rFonts w:eastAsia="CorporateAPro-Regular"/>
        </w:rPr>
        <w:t>forget</w:t>
      </w:r>
      <w:proofErr w:type="spellEnd"/>
      <w:r>
        <w:rPr>
          <w:rFonts w:eastAsia="CorporateAPro-Regular"/>
        </w:rPr>
        <w:t xml:space="preserve"> bezeichnet, weil Erzeuger keine Bestätigung Über Erhalt oder Verarbeitung ihrer Nachrichten erhalten.</w:t>
      </w:r>
    </w:p>
    <w:p w14:paraId="03A21398" w14:textId="76FDB1A5" w:rsidR="00984890" w:rsidRDefault="00984890" w:rsidP="00984890">
      <w:pPr>
        <w:rPr>
          <w:rFonts w:eastAsia="CorporateAPro-Regular"/>
          <w:sz w:val="11"/>
          <w:szCs w:val="11"/>
        </w:rPr>
      </w:pPr>
      <w:r>
        <w:rPr>
          <w:rFonts w:eastAsia="CorporateAPro-Regular"/>
        </w:rPr>
        <w:t>Insbesondere können Erzeuger keine Annahmen darüber treffen, ob ihre Nachrichten überhaupt bearbeitet werden beziehungsweise in welcher Reihenfolge. Sind diese Informationen für die Erzeuger wichtig oder müssen die Empfänger gar explizite Antworten auf ihre jeweiligen Nachrichten geben, so bedarf das Message-Queue-Modell einiger Erweiterungen, etwa Über explizite Konversationen oder Korrelations-IDs</w:t>
      </w:r>
      <w:r>
        <w:rPr>
          <w:rFonts w:eastAsia="CorporateAPro-Regular"/>
          <w:sz w:val="11"/>
          <w:szCs w:val="11"/>
        </w:rPr>
        <w:t>.</w:t>
      </w:r>
    </w:p>
    <w:p w14:paraId="7D94F010" w14:textId="55CA9005" w:rsidR="00984890" w:rsidRDefault="00984890" w:rsidP="00984890">
      <w:pPr>
        <w:rPr>
          <w:rFonts w:eastAsia="CorporateAPro-Regular"/>
          <w:sz w:val="11"/>
          <w:szCs w:val="11"/>
        </w:rPr>
      </w:pPr>
    </w:p>
    <w:p w14:paraId="5703F38B" w14:textId="5829AD15" w:rsidR="00984890" w:rsidRPr="00984890" w:rsidRDefault="00982DA3" w:rsidP="00982DA3">
      <w:pPr>
        <w:rPr>
          <w:rFonts w:eastAsia="CorporateAPro-Regular"/>
        </w:rPr>
      </w:pPr>
      <w:r>
        <w:rPr>
          <w:rFonts w:eastAsia="CorporateAPro-Regular"/>
        </w:rPr>
        <w:t>Damit können auch mehrere Nachrichten miteinander in Zusammenhang gebracht werden, so dass der ursprüngliche Erzeuger alle Reaktionen auf eine Nachricht nachvollziehen kann.</w:t>
      </w:r>
    </w:p>
    <w:p w14:paraId="4C99290F" w14:textId="01A3961B" w:rsidR="00707969" w:rsidRDefault="00707969" w:rsidP="00707969">
      <w:pPr>
        <w:pStyle w:val="berschrift3"/>
        <w:rPr>
          <w:rFonts w:eastAsia="CorporateAPro-Regular"/>
        </w:rPr>
      </w:pPr>
      <w:r>
        <w:rPr>
          <w:rFonts w:eastAsia="CorporateAPro-Regular"/>
        </w:rPr>
        <w:t>Message Service Architekturen</w:t>
      </w:r>
    </w:p>
    <w:p w14:paraId="7B667F54" w14:textId="2661751F" w:rsidR="009621BD" w:rsidRPr="009621BD" w:rsidRDefault="009621BD" w:rsidP="009621BD">
      <w:pPr>
        <w:rPr>
          <w:rFonts w:eastAsia="CorporateAPro-Regular"/>
        </w:rPr>
      </w:pPr>
      <w:r w:rsidRPr="009621BD">
        <w:rPr>
          <w:rFonts w:eastAsia="CorporateAPro-Regular"/>
        </w:rPr>
        <w:t>Wir können die Aufgaben der Warteschlange des vorigen Abschnitts noch um allgemeine</w:t>
      </w:r>
    </w:p>
    <w:p w14:paraId="5E584DEA" w14:textId="77777777" w:rsidR="009621BD" w:rsidRDefault="009621BD" w:rsidP="009621BD">
      <w:pPr>
        <w:rPr>
          <w:rFonts w:eastAsia="CorporateAPro-Regular"/>
        </w:rPr>
      </w:pPr>
      <w:r>
        <w:rPr>
          <w:rFonts w:eastAsia="CorporateAPro-Regular"/>
        </w:rPr>
        <w:t xml:space="preserve">Message-Services erweitern </w:t>
      </w:r>
      <w:r>
        <w:rPr>
          <w:rFonts w:eastAsia="CorporateAPro-Regular" w:hint="eastAsia"/>
        </w:rPr>
        <w:t>–</w:t>
      </w:r>
      <w:r>
        <w:rPr>
          <w:rFonts w:eastAsia="CorporateAPro-Regular"/>
        </w:rPr>
        <w:t xml:space="preserve"> beispielsweise um folgende:</w:t>
      </w:r>
    </w:p>
    <w:p w14:paraId="17408117" w14:textId="368D4505" w:rsidR="009621BD" w:rsidRDefault="009621BD" w:rsidP="009621BD">
      <w:pPr>
        <w:pStyle w:val="Listenabsatz"/>
        <w:numPr>
          <w:ilvl w:val="0"/>
          <w:numId w:val="32"/>
        </w:numPr>
        <w:rPr>
          <w:rFonts w:eastAsia="CorporateAPro-Regular"/>
        </w:rPr>
      </w:pPr>
      <w:r w:rsidRPr="009621BD">
        <w:rPr>
          <w:rFonts w:eastAsia="CorporateAPro-Regular"/>
        </w:rPr>
        <w:t xml:space="preserve">Routing von Nachrichten an bestimmte Empfänger, etwa </w:t>
      </w:r>
      <w:proofErr w:type="spellStart"/>
      <w:r w:rsidRPr="009621BD">
        <w:rPr>
          <w:rFonts w:ascii="CorporateAPro-RegularItalic" w:eastAsia="CorporateAPro-Regular" w:hAnsi="CorporateAPro-RegularItalic" w:cs="CorporateAPro-RegularItalic"/>
          <w:i/>
          <w:iCs/>
        </w:rPr>
        <w:t>content-based</w:t>
      </w:r>
      <w:proofErr w:type="spellEnd"/>
      <w:r w:rsidRPr="009621BD">
        <w:rPr>
          <w:rFonts w:ascii="CorporateAPro-RegularItalic" w:eastAsia="CorporateAPro-Regular" w:hAnsi="CorporateAPro-RegularItalic" w:cs="CorporateAPro-RegularItalic"/>
          <w:i/>
          <w:iCs/>
        </w:rPr>
        <w:t xml:space="preserve"> </w:t>
      </w:r>
      <w:proofErr w:type="spellStart"/>
      <w:r w:rsidRPr="009621BD">
        <w:rPr>
          <w:rFonts w:ascii="CorporateAPro-RegularItalic" w:eastAsia="CorporateAPro-Regular" w:hAnsi="CorporateAPro-RegularItalic" w:cs="CorporateAPro-RegularItalic"/>
          <w:i/>
          <w:iCs/>
        </w:rPr>
        <w:t>routing</w:t>
      </w:r>
      <w:proofErr w:type="spellEnd"/>
      <w:r w:rsidRPr="009621BD">
        <w:rPr>
          <w:rFonts w:eastAsia="CorporateAPro-Regular"/>
        </w:rPr>
        <w:t>,</w:t>
      </w:r>
    </w:p>
    <w:p w14:paraId="75127BA4" w14:textId="47E929CC" w:rsidR="009621BD" w:rsidRPr="009621BD" w:rsidRDefault="009621BD" w:rsidP="009621BD">
      <w:pPr>
        <w:pStyle w:val="Listenabsatz"/>
        <w:numPr>
          <w:ilvl w:val="0"/>
          <w:numId w:val="32"/>
        </w:numPr>
        <w:rPr>
          <w:rFonts w:eastAsia="CorporateAPro-Regular"/>
        </w:rPr>
      </w:pPr>
      <w:r>
        <w:rPr>
          <w:rFonts w:eastAsia="CorporateAPro-Regular"/>
        </w:rPr>
        <w:t>Ä</w:t>
      </w:r>
      <w:r w:rsidRPr="009621BD">
        <w:rPr>
          <w:rFonts w:eastAsia="CorporateAPro-Regular"/>
        </w:rPr>
        <w:t xml:space="preserve">ndern der Reihenfolge von Nachrichten </w:t>
      </w:r>
      <w:r w:rsidRPr="009621BD">
        <w:rPr>
          <w:rFonts w:eastAsia="CorporateAPro-Regular" w:hint="eastAsia"/>
        </w:rPr>
        <w:t>–</w:t>
      </w:r>
      <w:r w:rsidRPr="009621BD">
        <w:rPr>
          <w:rFonts w:eastAsia="CorporateAPro-Regular"/>
        </w:rPr>
        <w:t xml:space="preserve"> solche mit höherer Priorität werden bevorzugt</w:t>
      </w:r>
      <w:r>
        <w:rPr>
          <w:rFonts w:eastAsia="CorporateAPro-Regular"/>
        </w:rPr>
        <w:t xml:space="preserve"> </w:t>
      </w:r>
      <w:r w:rsidRPr="009621BD">
        <w:rPr>
          <w:rFonts w:eastAsia="CorporateAPro-Regular"/>
        </w:rPr>
        <w:t>zugestellt,</w:t>
      </w:r>
    </w:p>
    <w:p w14:paraId="3B47E3A1" w14:textId="36E52381" w:rsidR="009621BD" w:rsidRPr="009621BD" w:rsidRDefault="009621BD" w:rsidP="009621BD">
      <w:pPr>
        <w:pStyle w:val="Listenabsatz"/>
        <w:numPr>
          <w:ilvl w:val="0"/>
          <w:numId w:val="35"/>
        </w:numPr>
        <w:rPr>
          <w:rFonts w:eastAsia="CorporateAPro-Regular"/>
        </w:rPr>
      </w:pPr>
      <w:r w:rsidRPr="009621BD">
        <w:rPr>
          <w:rFonts w:eastAsia="CorporateAPro-Regular"/>
        </w:rPr>
        <w:t xml:space="preserve">Vorverarbeitung von Nachrichten </w:t>
      </w:r>
      <w:r w:rsidRPr="009621BD">
        <w:rPr>
          <w:rFonts w:eastAsia="CorporateAPro-Regular" w:hint="eastAsia"/>
        </w:rPr>
        <w:t>–</w:t>
      </w:r>
      <w:r w:rsidRPr="009621BD">
        <w:rPr>
          <w:rFonts w:eastAsia="CorporateAPro-Regular"/>
        </w:rPr>
        <w:t xml:space="preserve"> etwa Archivierung, </w:t>
      </w:r>
      <w:proofErr w:type="spellStart"/>
      <w:r w:rsidRPr="009621BD">
        <w:rPr>
          <w:rFonts w:eastAsia="CorporateAPro-Regular"/>
        </w:rPr>
        <w:t>Verschlusselung</w:t>
      </w:r>
      <w:proofErr w:type="spellEnd"/>
      <w:r w:rsidRPr="009621BD">
        <w:rPr>
          <w:rFonts w:eastAsia="CorporateAPro-Regular"/>
        </w:rPr>
        <w:t>, Protokollierung,</w:t>
      </w:r>
      <w:r>
        <w:rPr>
          <w:rFonts w:eastAsia="CorporateAPro-Regular"/>
        </w:rPr>
        <w:t xml:space="preserve"> </w:t>
      </w:r>
      <w:r w:rsidRPr="009621BD">
        <w:rPr>
          <w:rFonts w:eastAsia="CorporateAPro-Regular"/>
        </w:rPr>
        <w:t>statistische oder sonstige Auswertung,</w:t>
      </w:r>
    </w:p>
    <w:p w14:paraId="751A1E35" w14:textId="77777777" w:rsidR="009621BD" w:rsidRDefault="009621BD" w:rsidP="009621BD">
      <w:pPr>
        <w:pStyle w:val="Listenabsatz"/>
        <w:numPr>
          <w:ilvl w:val="0"/>
          <w:numId w:val="35"/>
        </w:numPr>
        <w:rPr>
          <w:rFonts w:eastAsia="CorporateAPro-Regular"/>
        </w:rPr>
      </w:pPr>
      <w:r w:rsidRPr="009621BD">
        <w:rPr>
          <w:rFonts w:eastAsia="CorporateAPro-Regular"/>
        </w:rPr>
        <w:t>Zusammenfassung mehrerer Nachrichten oder Aufteilung von Nachrichten,</w:t>
      </w:r>
    </w:p>
    <w:p w14:paraId="7D1F9C33" w14:textId="77777777" w:rsidR="009621BD" w:rsidRDefault="009621BD" w:rsidP="009621BD">
      <w:pPr>
        <w:pStyle w:val="Listenabsatz"/>
        <w:numPr>
          <w:ilvl w:val="0"/>
          <w:numId w:val="35"/>
        </w:numPr>
        <w:rPr>
          <w:rFonts w:eastAsia="CorporateAPro-Regular"/>
        </w:rPr>
      </w:pPr>
      <w:r w:rsidRPr="009621BD">
        <w:rPr>
          <w:rFonts w:eastAsia="CorporateAPro-Regular"/>
        </w:rPr>
        <w:t>Überwachung hinsichtlich bestimmter Qualit</w:t>
      </w:r>
      <w:r>
        <w:rPr>
          <w:rFonts w:eastAsia="CorporateAPro-Regular"/>
        </w:rPr>
        <w:t>ä</w:t>
      </w:r>
      <w:r w:rsidRPr="009621BD">
        <w:rPr>
          <w:rFonts w:eastAsia="CorporateAPro-Regular"/>
        </w:rPr>
        <w:t xml:space="preserve">tseigenschaften </w:t>
      </w:r>
      <w:r w:rsidRPr="009621BD">
        <w:rPr>
          <w:rFonts w:eastAsia="CorporateAPro-Regular" w:hint="eastAsia"/>
        </w:rPr>
        <w:t>–</w:t>
      </w:r>
      <w:r w:rsidRPr="009621BD">
        <w:rPr>
          <w:rFonts w:eastAsia="CorporateAPro-Regular"/>
        </w:rPr>
        <w:t xml:space="preserve"> etwa: Werden die Nachrichten</w:t>
      </w:r>
      <w:r>
        <w:rPr>
          <w:rFonts w:eastAsia="CorporateAPro-Regular"/>
        </w:rPr>
        <w:t xml:space="preserve"> </w:t>
      </w:r>
      <w:r w:rsidRPr="009621BD">
        <w:rPr>
          <w:rFonts w:eastAsia="CorporateAPro-Regular"/>
        </w:rPr>
        <w:t>vom Empfänger in der gewünschten Zeit verarbeitet? Ist ein bestimmter Empfänger</w:t>
      </w:r>
      <w:r>
        <w:rPr>
          <w:rFonts w:eastAsia="CorporateAPro-Regular"/>
        </w:rPr>
        <w:t xml:space="preserve"> </w:t>
      </w:r>
      <w:r w:rsidRPr="009621BD">
        <w:rPr>
          <w:rFonts w:eastAsia="CorporateAPro-Regular"/>
        </w:rPr>
        <w:t>überlastet</w:t>
      </w:r>
      <w:r>
        <w:rPr>
          <w:rFonts w:eastAsia="CorporateAPro-Regular"/>
        </w:rPr>
        <w:t xml:space="preserve"> </w:t>
      </w:r>
      <w:r w:rsidRPr="009621BD">
        <w:rPr>
          <w:rFonts w:eastAsia="CorporateAPro-Regular"/>
        </w:rPr>
        <w:t>und muss eine zusätzliche Instanz gestartet werden?</w:t>
      </w:r>
    </w:p>
    <w:p w14:paraId="7BC23C02" w14:textId="7F6B7116" w:rsidR="009621BD" w:rsidRPr="009621BD" w:rsidRDefault="009621BD" w:rsidP="009621BD">
      <w:pPr>
        <w:pStyle w:val="Listenabsatz"/>
        <w:numPr>
          <w:ilvl w:val="0"/>
          <w:numId w:val="35"/>
        </w:numPr>
        <w:rPr>
          <w:rFonts w:eastAsia="CorporateAPro-Regular"/>
        </w:rPr>
      </w:pPr>
      <w:r w:rsidRPr="009621BD">
        <w:rPr>
          <w:rFonts w:eastAsia="CorporateAPro-Regular"/>
        </w:rPr>
        <w:t>Zuverlässige Speicherung von Nachrichten, bis die jeweiligen Empfänger die vollständige Verarbeitung bestätigt haben (</w:t>
      </w:r>
      <w:r w:rsidRPr="009621BD">
        <w:rPr>
          <w:rFonts w:ascii="CorporateAPro-RegularItalic" w:eastAsia="CorporateAPro-Regular" w:hAnsi="CorporateAPro-RegularItalic" w:cs="CorporateAPro-RegularItalic"/>
          <w:i/>
          <w:iCs/>
        </w:rPr>
        <w:t xml:space="preserve">reliable </w:t>
      </w:r>
      <w:proofErr w:type="spellStart"/>
      <w:r w:rsidRPr="009621BD">
        <w:rPr>
          <w:rFonts w:ascii="CorporateAPro-RegularItalic" w:eastAsia="CorporateAPro-Regular" w:hAnsi="CorporateAPro-RegularItalic" w:cs="CorporateAPro-RegularItalic"/>
          <w:i/>
          <w:iCs/>
        </w:rPr>
        <w:t>messaging</w:t>
      </w:r>
      <w:proofErr w:type="spellEnd"/>
      <w:r w:rsidRPr="009621BD">
        <w:rPr>
          <w:rFonts w:eastAsia="CorporateAPro-Regular"/>
        </w:rPr>
        <w:t>).</w:t>
      </w:r>
    </w:p>
    <w:p w14:paraId="728E38B9" w14:textId="09BA00D2" w:rsidR="001C110A" w:rsidRDefault="00707969" w:rsidP="00707969">
      <w:pPr>
        <w:pStyle w:val="berschrift4"/>
        <w:rPr>
          <w:rFonts w:eastAsia="CorporateAPro-Regular"/>
        </w:rPr>
      </w:pPr>
      <w:r>
        <w:rPr>
          <w:rFonts w:eastAsia="CorporateAPro-Regular"/>
        </w:rPr>
        <w:t>Kriterien für die Anwendung</w:t>
      </w:r>
    </w:p>
    <w:p w14:paraId="27060C9B" w14:textId="7CF889F9" w:rsidR="00707969" w:rsidRPr="00707969" w:rsidRDefault="00707969" w:rsidP="00707969">
      <w:pPr>
        <w:pStyle w:val="Listenabsatz"/>
        <w:numPr>
          <w:ilvl w:val="0"/>
          <w:numId w:val="32"/>
        </w:numPr>
        <w:rPr>
          <w:rFonts w:eastAsia="CorporateAPro-Regular"/>
        </w:rPr>
      </w:pPr>
      <w:r w:rsidRPr="00707969">
        <w:rPr>
          <w:rFonts w:eastAsia="CorporateAPro-Regular"/>
          <w:color w:val="666666"/>
        </w:rPr>
        <w:t xml:space="preserve">. </w:t>
      </w:r>
      <w:r w:rsidRPr="00707969">
        <w:rPr>
          <w:rFonts w:eastAsia="CorporateAPro-Regular"/>
        </w:rPr>
        <w:t>Erzeuger (Sender) von Nachrichten benötigt für die weitere Verarbeitung keine synchrone</w:t>
      </w:r>
      <w:r>
        <w:rPr>
          <w:rFonts w:eastAsia="CorporateAPro-Regular"/>
        </w:rPr>
        <w:t xml:space="preserve"> </w:t>
      </w:r>
      <w:r w:rsidRPr="00707969">
        <w:rPr>
          <w:rFonts w:eastAsia="CorporateAPro-Regular"/>
        </w:rPr>
        <w:t>Antwort (</w:t>
      </w:r>
      <w:proofErr w:type="spellStart"/>
      <w:r w:rsidRPr="00707969">
        <w:rPr>
          <w:rFonts w:eastAsia="CorporateAPro-Regular"/>
        </w:rPr>
        <w:t>fire</w:t>
      </w:r>
      <w:proofErr w:type="spellEnd"/>
      <w:r w:rsidRPr="00707969">
        <w:rPr>
          <w:rFonts w:eastAsia="CorporateAPro-Regular"/>
        </w:rPr>
        <w:t>-and-</w:t>
      </w:r>
      <w:proofErr w:type="spellStart"/>
      <w:r w:rsidRPr="00707969">
        <w:rPr>
          <w:rFonts w:eastAsia="CorporateAPro-Regular"/>
        </w:rPr>
        <w:t>forget</w:t>
      </w:r>
      <w:proofErr w:type="spellEnd"/>
      <w:r w:rsidRPr="00707969">
        <w:rPr>
          <w:rFonts w:eastAsia="CorporateAPro-Regular"/>
        </w:rPr>
        <w:t>).</w:t>
      </w:r>
    </w:p>
    <w:p w14:paraId="24C1D446" w14:textId="77777777" w:rsidR="00707969" w:rsidRDefault="00707969" w:rsidP="00707969">
      <w:pPr>
        <w:pStyle w:val="Listenabsatz"/>
        <w:numPr>
          <w:ilvl w:val="0"/>
          <w:numId w:val="32"/>
        </w:numPr>
        <w:rPr>
          <w:rFonts w:eastAsia="CorporateAPro-Regular"/>
        </w:rPr>
      </w:pPr>
      <w:r w:rsidRPr="00707969">
        <w:rPr>
          <w:rFonts w:eastAsia="CorporateAPro-Regular"/>
        </w:rPr>
        <w:t>Integrationsszenarien: Es müssen mehrere unterschiedliche Systeme zusammenarbeiten.</w:t>
      </w:r>
    </w:p>
    <w:p w14:paraId="3FBE3A3A" w14:textId="46F0E4A1" w:rsidR="00707969" w:rsidRPr="00707969" w:rsidRDefault="00707969" w:rsidP="00707969">
      <w:pPr>
        <w:pStyle w:val="Listenabsatz"/>
        <w:numPr>
          <w:ilvl w:val="0"/>
          <w:numId w:val="32"/>
        </w:numPr>
        <w:rPr>
          <w:rFonts w:eastAsia="CorporateAPro-Regular"/>
        </w:rPr>
      </w:pPr>
      <w:r w:rsidRPr="00707969">
        <w:rPr>
          <w:rFonts w:eastAsia="CorporateAPro-Regular"/>
        </w:rPr>
        <w:t>Sender erzeugt Nachrichten erheblich schneller als sie von Empfängern</w:t>
      </w:r>
    </w:p>
    <w:p w14:paraId="4BF41BAD" w14:textId="3E56E12B" w:rsidR="00A535DB" w:rsidRDefault="00A535DB" w:rsidP="00707969">
      <w:pPr>
        <w:pStyle w:val="berschrift4"/>
      </w:pPr>
      <w:r>
        <w:t>Vorteile</w:t>
      </w:r>
    </w:p>
    <w:p w14:paraId="319BC12A" w14:textId="5C17A0B9" w:rsidR="00A535DB" w:rsidRPr="00A535DB" w:rsidRDefault="00A535DB" w:rsidP="00A535DB">
      <w:pPr>
        <w:pStyle w:val="Listenabsatz"/>
        <w:numPr>
          <w:ilvl w:val="0"/>
          <w:numId w:val="32"/>
        </w:numPr>
        <w:rPr>
          <w:rFonts w:eastAsia="CorporateAPro-Regular"/>
        </w:rPr>
      </w:pPr>
      <w:r w:rsidRPr="00A535DB">
        <w:rPr>
          <w:rFonts w:eastAsia="CorporateAPro-Regular"/>
        </w:rPr>
        <w:t>Sender und Empfänger von Nachrichten können in völlig unterschiedlichen Technologien und Programmiersprachen erstellt werden.</w:t>
      </w:r>
    </w:p>
    <w:p w14:paraId="260911E7" w14:textId="19A51919" w:rsidR="00A535DB" w:rsidRPr="00A535DB" w:rsidRDefault="00A535DB" w:rsidP="00A535DB">
      <w:pPr>
        <w:pStyle w:val="Listenabsatz"/>
        <w:numPr>
          <w:ilvl w:val="0"/>
          <w:numId w:val="32"/>
        </w:numPr>
        <w:rPr>
          <w:rFonts w:eastAsia="CorporateAPro-Regular"/>
        </w:rPr>
      </w:pPr>
      <w:r w:rsidRPr="00A535DB">
        <w:rPr>
          <w:rFonts w:eastAsia="CorporateAPro-Regular"/>
        </w:rPr>
        <w:t>Message-Queues, insbesondere solche mit zuverlässiger Zustellung (</w:t>
      </w:r>
      <w:r w:rsidRPr="00A535DB">
        <w:rPr>
          <w:rFonts w:ascii="CorporateAPro-RegularItalic" w:eastAsia="Wingdings-Regular" w:hAnsi="CorporateAPro-RegularItalic" w:cs="CorporateAPro-RegularItalic"/>
          <w:i/>
          <w:iCs/>
        </w:rPr>
        <w:t xml:space="preserve">reliable </w:t>
      </w:r>
      <w:proofErr w:type="spellStart"/>
      <w:r w:rsidRPr="00A535DB">
        <w:rPr>
          <w:rFonts w:ascii="CorporateAPro-RegularItalic" w:eastAsia="Wingdings-Regular" w:hAnsi="CorporateAPro-RegularItalic" w:cs="CorporateAPro-RegularItalic"/>
          <w:i/>
          <w:iCs/>
        </w:rPr>
        <w:t>messaging</w:t>
      </w:r>
      <w:proofErr w:type="spellEnd"/>
      <w:r w:rsidRPr="00A535DB">
        <w:rPr>
          <w:rFonts w:eastAsia="CorporateAPro-Regular"/>
        </w:rPr>
        <w:t>),</w:t>
      </w:r>
      <w:r>
        <w:rPr>
          <w:rFonts w:eastAsia="CorporateAPro-Regular"/>
        </w:rPr>
        <w:t xml:space="preserve"> </w:t>
      </w:r>
      <w:r w:rsidRPr="00A535DB">
        <w:rPr>
          <w:rFonts w:eastAsia="CorporateAPro-Regular"/>
        </w:rPr>
        <w:t>können die Verfügbarkeit und Robustheit von Systemen erheblich steigern. Aus diesem</w:t>
      </w:r>
      <w:r>
        <w:rPr>
          <w:rFonts w:eastAsia="CorporateAPro-Regular"/>
        </w:rPr>
        <w:t xml:space="preserve"> </w:t>
      </w:r>
      <w:r w:rsidRPr="00A535DB">
        <w:rPr>
          <w:rFonts w:eastAsia="CorporateAPro-Regular"/>
        </w:rPr>
        <w:t>Grund werden MQ-Systeme insbesondere im Bereich Finanz- und Kontodaten häufig</w:t>
      </w:r>
      <w:r>
        <w:rPr>
          <w:rFonts w:eastAsia="CorporateAPro-Regular"/>
        </w:rPr>
        <w:t xml:space="preserve"> </w:t>
      </w:r>
      <w:r w:rsidRPr="00A535DB">
        <w:rPr>
          <w:rFonts w:eastAsia="CorporateAPro-Regular"/>
        </w:rPr>
        <w:t>eingesetzt.</w:t>
      </w:r>
    </w:p>
    <w:p w14:paraId="087FB8B0" w14:textId="7C9C228D" w:rsidR="00A535DB" w:rsidRDefault="00A535DB" w:rsidP="00707969">
      <w:pPr>
        <w:pStyle w:val="berschrift4"/>
      </w:pPr>
      <w:r>
        <w:t>Nachteile</w:t>
      </w:r>
    </w:p>
    <w:p w14:paraId="4D9081C9" w14:textId="7B45C300" w:rsidR="00A535DB" w:rsidRPr="00A535DB" w:rsidRDefault="00A535DB" w:rsidP="00A535DB">
      <w:pPr>
        <w:pStyle w:val="Listenabsatz"/>
        <w:numPr>
          <w:ilvl w:val="0"/>
          <w:numId w:val="32"/>
        </w:numPr>
        <w:rPr>
          <w:rFonts w:eastAsia="CorporateAPro-Regular"/>
        </w:rPr>
      </w:pPr>
      <w:r w:rsidRPr="00A535DB">
        <w:rPr>
          <w:rFonts w:eastAsia="CorporateAPro-Regular"/>
        </w:rPr>
        <w:t>Message-Queues (ob kommerziell oder Open-Source) sind in sich komplexe Systeme mit</w:t>
      </w:r>
      <w:r>
        <w:rPr>
          <w:rFonts w:eastAsia="CorporateAPro-Regular"/>
        </w:rPr>
        <w:t xml:space="preserve"> </w:t>
      </w:r>
      <w:r w:rsidRPr="00A535DB">
        <w:rPr>
          <w:rFonts w:eastAsia="CorporateAPro-Regular"/>
        </w:rPr>
        <w:t>teilweise hohem Einführung- und Administrationsaufwand.</w:t>
      </w:r>
    </w:p>
    <w:p w14:paraId="0CE66D0B" w14:textId="37ECEA7E" w:rsidR="00A535DB" w:rsidRPr="00A535DB" w:rsidRDefault="00A535DB" w:rsidP="00A535DB">
      <w:pPr>
        <w:pStyle w:val="Listenabsatz"/>
        <w:numPr>
          <w:ilvl w:val="0"/>
          <w:numId w:val="32"/>
        </w:numPr>
        <w:rPr>
          <w:rFonts w:eastAsia="CorporateAPro-Regular"/>
        </w:rPr>
      </w:pPr>
      <w:r w:rsidRPr="00A535DB">
        <w:rPr>
          <w:rFonts w:eastAsia="CorporateAPro-Regular"/>
        </w:rPr>
        <w:t>Asynchrone und nachrichtenbasierte Programmierung ist signifikant aufwendiger als</w:t>
      </w:r>
      <w:r>
        <w:rPr>
          <w:rFonts w:eastAsia="CorporateAPro-Regular"/>
        </w:rPr>
        <w:t xml:space="preserve"> </w:t>
      </w:r>
      <w:r w:rsidRPr="00A535DB">
        <w:rPr>
          <w:rFonts w:eastAsia="CorporateAPro-Regular"/>
        </w:rPr>
        <w:t xml:space="preserve">einfacher </w:t>
      </w:r>
      <w:proofErr w:type="spellStart"/>
      <w:r w:rsidRPr="00A535DB">
        <w:rPr>
          <w:rFonts w:eastAsia="CorporateAPro-Regular"/>
        </w:rPr>
        <w:t>call</w:t>
      </w:r>
      <w:proofErr w:type="spellEnd"/>
      <w:r w:rsidRPr="00A535DB">
        <w:rPr>
          <w:rFonts w:eastAsia="CorporateAPro-Regular"/>
        </w:rPr>
        <w:t>-and-return-Stil. Fehlersuche in asynchronen Systemen kann aufwendig sein.</w:t>
      </w:r>
    </w:p>
    <w:p w14:paraId="4AC1D7BC" w14:textId="77777777" w:rsidR="00855FF1" w:rsidRPr="00855FF1" w:rsidRDefault="00855FF1" w:rsidP="00855FF1">
      <w:pPr>
        <w:pStyle w:val="Grundtext"/>
      </w:pPr>
    </w:p>
    <w:p w14:paraId="4902D905" w14:textId="77777777" w:rsidR="00855FF1" w:rsidRPr="00855FF1" w:rsidRDefault="00855FF1" w:rsidP="00855FF1">
      <w:pPr>
        <w:pStyle w:val="Grundtext"/>
      </w:pPr>
    </w:p>
    <w:sectPr w:rsidR="00855FF1" w:rsidRPr="00855FF1">
      <w:headerReference w:type="default" r:id="rId26"/>
      <w:headerReference w:type="first" r:id="rId27"/>
      <w:type w:val="continuous"/>
      <w:pgSz w:w="11907" w:h="16840" w:code="9"/>
      <w:pgMar w:top="1701" w:right="170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3B422" w14:textId="77777777" w:rsidR="008B08B7" w:rsidRDefault="008B08B7">
      <w:r>
        <w:separator/>
      </w:r>
    </w:p>
  </w:endnote>
  <w:endnote w:type="continuationSeparator" w:id="0">
    <w:p w14:paraId="50A97E67" w14:textId="77777777" w:rsidR="008B08B7" w:rsidRDefault="008B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td-Italic">
    <w:altName w:val="Calibri"/>
    <w:panose1 w:val="00000000000000000000"/>
    <w:charset w:val="00"/>
    <w:family w:val="auto"/>
    <w:notTrueType/>
    <w:pitch w:val="default"/>
    <w:sig w:usb0="00000003" w:usb1="00000000" w:usb2="00000000" w:usb3="00000000" w:csb0="00000001" w:csb1="00000000"/>
  </w:font>
  <w:font w:name="LucidaStd">
    <w:altName w:val="Calibri"/>
    <w:panose1 w:val="00000000000000000000"/>
    <w:charset w:val="00"/>
    <w:family w:val="auto"/>
    <w:notTrueType/>
    <w:pitch w:val="default"/>
    <w:sig w:usb0="00000003" w:usb1="00000000" w:usb2="00000000" w:usb3="00000000" w:csb0="00000001" w:csb1="00000000"/>
  </w:font>
  <w:font w:name="LucidaSans-Bold">
    <w:altName w:val="Calibri"/>
    <w:panose1 w:val="00000000000000000000"/>
    <w:charset w:val="00"/>
    <w:family w:val="auto"/>
    <w:notTrueType/>
    <w:pitch w:val="default"/>
    <w:sig w:usb0="00000003" w:usb1="00000000" w:usb2="00000000" w:usb3="00000000" w:csb0="00000001" w:csb1="00000000"/>
  </w:font>
  <w:font w:name="SabonLTStd-Roman">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apfDingbats">
    <w:altName w:val="Calibri"/>
    <w:panose1 w:val="00000000000000000000"/>
    <w:charset w:val="00"/>
    <w:family w:val="auto"/>
    <w:notTrueType/>
    <w:pitch w:val="default"/>
    <w:sig w:usb0="00000003" w:usb1="00000000" w:usb2="00000000" w:usb3="00000000" w:csb0="00000001" w:csb1="00000000"/>
  </w:font>
  <w:font w:name="SabonLTStd-Bold">
    <w:altName w:val="Cambria"/>
    <w:panose1 w:val="00000000000000000000"/>
    <w:charset w:val="00"/>
    <w:family w:val="roman"/>
    <w:notTrueType/>
    <w:pitch w:val="default"/>
    <w:sig w:usb0="00000003" w:usb1="00000000" w:usb2="00000000" w:usb3="00000000" w:csb0="00000001" w:csb1="00000000"/>
  </w:font>
  <w:font w:name="CorporateAPro-Regular">
    <w:altName w:val="Yu Gothic"/>
    <w:panose1 w:val="00000000000000000000"/>
    <w:charset w:val="80"/>
    <w:family w:val="roman"/>
    <w:notTrueType/>
    <w:pitch w:val="default"/>
    <w:sig w:usb0="00000001" w:usb1="08070000" w:usb2="00000010" w:usb3="00000000" w:csb0="00020000" w:csb1="00000000"/>
  </w:font>
  <w:font w:name="CorporateAPro-RegularItalic">
    <w:altName w:val="Cambria"/>
    <w:panose1 w:val="00000000000000000000"/>
    <w:charset w:val="00"/>
    <w:family w:val="roman"/>
    <w:notTrueType/>
    <w:pitch w:val="default"/>
    <w:sig w:usb0="00000003" w:usb1="00000000" w:usb2="00000000" w:usb3="00000000" w:csb0="00000001" w:csb1="00000000"/>
  </w:font>
  <w:font w:name="Wingdings-Regular">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AC408" w14:textId="77777777" w:rsidR="008B08B7" w:rsidRDefault="008B08B7">
      <w:r>
        <w:separator/>
      </w:r>
    </w:p>
  </w:footnote>
  <w:footnote w:type="continuationSeparator" w:id="0">
    <w:p w14:paraId="761F834F" w14:textId="77777777" w:rsidR="008B08B7" w:rsidRDefault="008B08B7">
      <w:r>
        <w:continuationSeparator/>
      </w:r>
    </w:p>
  </w:footnote>
  <w:footnote w:type="continuationNotice" w:id="1">
    <w:p w14:paraId="602C42BC" w14:textId="77777777" w:rsidR="008B08B7" w:rsidRDefault="008B08B7">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370AC" w14:textId="0C62DADD" w:rsidR="00982DA3" w:rsidRDefault="00982DA3">
    <w:pPr>
      <w:pStyle w:val="Kopfzeile"/>
    </w:pPr>
  </w:p>
  <w:tbl>
    <w:tblPr>
      <w:tblW w:w="0" w:type="auto"/>
      <w:jc w:val="center"/>
      <w:tblLook w:val="04A0" w:firstRow="1" w:lastRow="0" w:firstColumn="1" w:lastColumn="0" w:noHBand="0" w:noVBand="1"/>
    </w:tblPr>
    <w:tblGrid>
      <w:gridCol w:w="2648"/>
      <w:gridCol w:w="3985"/>
      <w:gridCol w:w="1872"/>
    </w:tblGrid>
    <w:tr w:rsidR="00982DA3" w14:paraId="233DB8A8" w14:textId="77777777" w:rsidTr="00F63078">
      <w:trPr>
        <w:jc w:val="center"/>
      </w:trPr>
      <w:tc>
        <w:tcPr>
          <w:tcW w:w="2881" w:type="dxa"/>
          <w:shd w:val="clear" w:color="auto" w:fill="auto"/>
          <w:vAlign w:val="center"/>
        </w:tcPr>
        <w:p w14:paraId="7FCEB2AC" w14:textId="271253E9" w:rsidR="00982DA3" w:rsidRPr="00F63078" w:rsidRDefault="00982DA3" w:rsidP="00F63078">
          <w:pPr>
            <w:pStyle w:val="Kopfzeile"/>
            <w:rPr>
              <w:b/>
              <w:bCs/>
              <w:sz w:val="24"/>
              <w:szCs w:val="24"/>
            </w:rPr>
          </w:pPr>
          <w:r>
            <w:rPr>
              <w:b/>
              <w:bCs/>
              <w:sz w:val="24"/>
              <w:szCs w:val="24"/>
            </w:rPr>
            <w:t>ISAQB-F 2020</w:t>
          </w:r>
        </w:p>
      </w:tc>
      <w:tc>
        <w:tcPr>
          <w:tcW w:w="4457" w:type="dxa"/>
          <w:shd w:val="clear" w:color="auto" w:fill="auto"/>
          <w:vAlign w:val="center"/>
        </w:tcPr>
        <w:p w14:paraId="37A977BB" w14:textId="4FFB7EE5" w:rsidR="00982DA3" w:rsidRPr="00F63078" w:rsidRDefault="00982DA3" w:rsidP="00F63078">
          <w:pPr>
            <w:pStyle w:val="Kopfzeile"/>
            <w:jc w:val="center"/>
            <w:rPr>
              <w:b/>
              <w:bCs/>
              <w:sz w:val="24"/>
              <w:szCs w:val="24"/>
            </w:rPr>
          </w:pPr>
          <w:r>
            <w:rPr>
              <w:b/>
              <w:bCs/>
              <w:sz w:val="24"/>
              <w:szCs w:val="24"/>
            </w:rPr>
            <w:t>Architekturmuster</w:t>
          </w:r>
        </w:p>
      </w:tc>
      <w:tc>
        <w:tcPr>
          <w:tcW w:w="1307" w:type="dxa"/>
          <w:shd w:val="clear" w:color="auto" w:fill="auto"/>
        </w:tcPr>
        <w:p w14:paraId="7B631586" w14:textId="14703B36" w:rsidR="00982DA3" w:rsidRDefault="00982DA3">
          <w:pPr>
            <w:pStyle w:val="Kopfzeile"/>
          </w:pPr>
          <w:r>
            <w:rPr>
              <w:noProof/>
            </w:rPr>
            <w:drawing>
              <wp:inline distT="0" distB="0" distL="0" distR="0" wp14:anchorId="61AC38AA" wp14:editId="3CBC0748">
                <wp:extent cx="1051560" cy="4648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464820"/>
                        </a:xfrm>
                        <a:prstGeom prst="rect">
                          <a:avLst/>
                        </a:prstGeom>
                        <a:noFill/>
                        <a:ln>
                          <a:noFill/>
                        </a:ln>
                      </pic:spPr>
                    </pic:pic>
                  </a:graphicData>
                </a:graphic>
              </wp:inline>
            </w:drawing>
          </w:r>
        </w:p>
      </w:tc>
    </w:tr>
  </w:tbl>
  <w:p w14:paraId="3DBE1B29" w14:textId="37C7F084" w:rsidR="00982DA3" w:rsidRDefault="00982DA3">
    <w:pPr>
      <w:pStyle w:val="Kopfzeile"/>
    </w:pPr>
  </w:p>
  <w:p w14:paraId="38486209" w14:textId="77777777" w:rsidR="00982DA3" w:rsidRDefault="00982D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7325" w14:textId="77777777" w:rsidR="00982DA3" w:rsidRDefault="00982DA3">
    <w:pPr>
      <w:pStyle w:val="Kopfzeile"/>
      <w:pBdr>
        <w:bottom w:val="single" w:sz="6" w:space="1" w:color="auto"/>
      </w:pBdr>
      <w:jc w:val="center"/>
    </w:pPr>
    <w:r>
      <w:t>Westfälische Wilhelms-Universität Münster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59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E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686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D645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88F5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F6C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083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F2CC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E08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C8C1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3DE566E"/>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3F03B1E"/>
    <w:multiLevelType w:val="singleLevel"/>
    <w:tmpl w:val="002AB44E"/>
    <w:lvl w:ilvl="0">
      <w:start w:val="1"/>
      <w:numFmt w:val="decimal"/>
      <w:lvlText w:val="%1."/>
      <w:legacy w:legacy="1" w:legacySpace="0" w:legacyIndent="283"/>
      <w:lvlJc w:val="left"/>
      <w:pPr>
        <w:ind w:left="283" w:hanging="283"/>
      </w:pPr>
    </w:lvl>
  </w:abstractNum>
  <w:abstractNum w:abstractNumId="13" w15:restartNumberingAfterBreak="0">
    <w:nsid w:val="046971B8"/>
    <w:multiLevelType w:val="singleLevel"/>
    <w:tmpl w:val="002AB44E"/>
    <w:lvl w:ilvl="0">
      <w:start w:val="1"/>
      <w:numFmt w:val="decimal"/>
      <w:lvlText w:val="%1."/>
      <w:legacy w:legacy="1" w:legacySpace="0" w:legacyIndent="283"/>
      <w:lvlJc w:val="left"/>
      <w:pPr>
        <w:ind w:left="283" w:hanging="283"/>
      </w:pPr>
    </w:lvl>
  </w:abstractNum>
  <w:abstractNum w:abstractNumId="14" w15:restartNumberingAfterBreak="0">
    <w:nsid w:val="0A260263"/>
    <w:multiLevelType w:val="hybridMultilevel"/>
    <w:tmpl w:val="7F02DCA2"/>
    <w:lvl w:ilvl="0" w:tplc="04070001">
      <w:start w:val="1"/>
      <w:numFmt w:val="bullet"/>
      <w:lvlText w:val=""/>
      <w:lvlJc w:val="left"/>
      <w:pPr>
        <w:tabs>
          <w:tab w:val="num" w:pos="2415"/>
        </w:tabs>
        <w:ind w:left="2415" w:hanging="360"/>
      </w:pPr>
      <w:rPr>
        <w:rFonts w:ascii="Symbol" w:hAnsi="Symbol" w:hint="default"/>
      </w:rPr>
    </w:lvl>
    <w:lvl w:ilvl="1" w:tplc="04070003" w:tentative="1">
      <w:start w:val="1"/>
      <w:numFmt w:val="bullet"/>
      <w:lvlText w:val="o"/>
      <w:lvlJc w:val="left"/>
      <w:pPr>
        <w:tabs>
          <w:tab w:val="num" w:pos="3135"/>
        </w:tabs>
        <w:ind w:left="3135" w:hanging="360"/>
      </w:pPr>
      <w:rPr>
        <w:rFonts w:ascii="Courier New" w:hAnsi="Courier New" w:hint="default"/>
      </w:rPr>
    </w:lvl>
    <w:lvl w:ilvl="2" w:tplc="04070005" w:tentative="1">
      <w:start w:val="1"/>
      <w:numFmt w:val="bullet"/>
      <w:lvlText w:val=""/>
      <w:lvlJc w:val="left"/>
      <w:pPr>
        <w:tabs>
          <w:tab w:val="num" w:pos="3855"/>
        </w:tabs>
        <w:ind w:left="3855" w:hanging="360"/>
      </w:pPr>
      <w:rPr>
        <w:rFonts w:ascii="Wingdings" w:hAnsi="Wingdings" w:hint="default"/>
      </w:rPr>
    </w:lvl>
    <w:lvl w:ilvl="3" w:tplc="04070001" w:tentative="1">
      <w:start w:val="1"/>
      <w:numFmt w:val="bullet"/>
      <w:lvlText w:val=""/>
      <w:lvlJc w:val="left"/>
      <w:pPr>
        <w:tabs>
          <w:tab w:val="num" w:pos="4575"/>
        </w:tabs>
        <w:ind w:left="4575" w:hanging="360"/>
      </w:pPr>
      <w:rPr>
        <w:rFonts w:ascii="Symbol" w:hAnsi="Symbol" w:hint="default"/>
      </w:rPr>
    </w:lvl>
    <w:lvl w:ilvl="4" w:tplc="04070003" w:tentative="1">
      <w:start w:val="1"/>
      <w:numFmt w:val="bullet"/>
      <w:lvlText w:val="o"/>
      <w:lvlJc w:val="left"/>
      <w:pPr>
        <w:tabs>
          <w:tab w:val="num" w:pos="5295"/>
        </w:tabs>
        <w:ind w:left="5295" w:hanging="360"/>
      </w:pPr>
      <w:rPr>
        <w:rFonts w:ascii="Courier New" w:hAnsi="Courier New" w:hint="default"/>
      </w:rPr>
    </w:lvl>
    <w:lvl w:ilvl="5" w:tplc="04070005" w:tentative="1">
      <w:start w:val="1"/>
      <w:numFmt w:val="bullet"/>
      <w:lvlText w:val=""/>
      <w:lvlJc w:val="left"/>
      <w:pPr>
        <w:tabs>
          <w:tab w:val="num" w:pos="6015"/>
        </w:tabs>
        <w:ind w:left="6015" w:hanging="360"/>
      </w:pPr>
      <w:rPr>
        <w:rFonts w:ascii="Wingdings" w:hAnsi="Wingdings" w:hint="default"/>
      </w:rPr>
    </w:lvl>
    <w:lvl w:ilvl="6" w:tplc="04070001" w:tentative="1">
      <w:start w:val="1"/>
      <w:numFmt w:val="bullet"/>
      <w:lvlText w:val=""/>
      <w:lvlJc w:val="left"/>
      <w:pPr>
        <w:tabs>
          <w:tab w:val="num" w:pos="6735"/>
        </w:tabs>
        <w:ind w:left="6735" w:hanging="360"/>
      </w:pPr>
      <w:rPr>
        <w:rFonts w:ascii="Symbol" w:hAnsi="Symbol" w:hint="default"/>
      </w:rPr>
    </w:lvl>
    <w:lvl w:ilvl="7" w:tplc="04070003" w:tentative="1">
      <w:start w:val="1"/>
      <w:numFmt w:val="bullet"/>
      <w:lvlText w:val="o"/>
      <w:lvlJc w:val="left"/>
      <w:pPr>
        <w:tabs>
          <w:tab w:val="num" w:pos="7455"/>
        </w:tabs>
        <w:ind w:left="7455" w:hanging="360"/>
      </w:pPr>
      <w:rPr>
        <w:rFonts w:ascii="Courier New" w:hAnsi="Courier New" w:hint="default"/>
      </w:rPr>
    </w:lvl>
    <w:lvl w:ilvl="8" w:tplc="04070005" w:tentative="1">
      <w:start w:val="1"/>
      <w:numFmt w:val="bullet"/>
      <w:lvlText w:val=""/>
      <w:lvlJc w:val="left"/>
      <w:pPr>
        <w:tabs>
          <w:tab w:val="num" w:pos="8175"/>
        </w:tabs>
        <w:ind w:left="8175" w:hanging="360"/>
      </w:pPr>
      <w:rPr>
        <w:rFonts w:ascii="Wingdings" w:hAnsi="Wingdings" w:hint="default"/>
      </w:rPr>
    </w:lvl>
  </w:abstractNum>
  <w:abstractNum w:abstractNumId="15" w15:restartNumberingAfterBreak="0">
    <w:nsid w:val="14CE5680"/>
    <w:multiLevelType w:val="multilevel"/>
    <w:tmpl w:val="59D497DE"/>
    <w:lvl w:ilvl="0">
      <w:start w:val="2000"/>
      <w:numFmt w:val="decimal"/>
      <w:lvlText w:val="%1"/>
      <w:lvlJc w:val="left"/>
      <w:pPr>
        <w:tabs>
          <w:tab w:val="num" w:pos="1695"/>
        </w:tabs>
        <w:ind w:left="1695" w:hanging="1695"/>
      </w:pPr>
      <w:rPr>
        <w:rFonts w:hint="default"/>
      </w:rPr>
    </w:lvl>
    <w:lvl w:ilvl="1">
      <w:start w:val="6"/>
      <w:numFmt w:val="decimalZero"/>
      <w:lvlText w:val="%1-%2"/>
      <w:lvlJc w:val="left"/>
      <w:pPr>
        <w:tabs>
          <w:tab w:val="num" w:pos="1695"/>
        </w:tabs>
        <w:ind w:left="1695" w:hanging="1695"/>
      </w:pPr>
      <w:rPr>
        <w:rFonts w:hint="default"/>
      </w:rPr>
    </w:lvl>
    <w:lvl w:ilvl="2">
      <w:start w:val="8"/>
      <w:numFmt w:val="decimalZero"/>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359513B"/>
    <w:multiLevelType w:val="singleLevel"/>
    <w:tmpl w:val="002AB44E"/>
    <w:lvl w:ilvl="0">
      <w:start w:val="1"/>
      <w:numFmt w:val="decimal"/>
      <w:lvlText w:val="%1."/>
      <w:legacy w:legacy="1" w:legacySpace="0" w:legacyIndent="283"/>
      <w:lvlJc w:val="left"/>
      <w:pPr>
        <w:ind w:left="283" w:hanging="283"/>
      </w:pPr>
    </w:lvl>
  </w:abstractNum>
  <w:abstractNum w:abstractNumId="17" w15:restartNumberingAfterBreak="0">
    <w:nsid w:val="2B51735C"/>
    <w:multiLevelType w:val="hybridMultilevel"/>
    <w:tmpl w:val="E03AA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6E5CF9"/>
    <w:multiLevelType w:val="hybridMultilevel"/>
    <w:tmpl w:val="FB28D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B66EB5"/>
    <w:multiLevelType w:val="singleLevel"/>
    <w:tmpl w:val="002AB44E"/>
    <w:lvl w:ilvl="0">
      <w:start w:val="1"/>
      <w:numFmt w:val="decimal"/>
      <w:lvlText w:val="%1."/>
      <w:legacy w:legacy="1" w:legacySpace="0" w:legacyIndent="283"/>
      <w:lvlJc w:val="left"/>
      <w:pPr>
        <w:ind w:left="283" w:hanging="283"/>
      </w:pPr>
    </w:lvl>
  </w:abstractNum>
  <w:abstractNum w:abstractNumId="20" w15:restartNumberingAfterBreak="0">
    <w:nsid w:val="3BE27F04"/>
    <w:multiLevelType w:val="hybridMultilevel"/>
    <w:tmpl w:val="E8A23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52564A"/>
    <w:multiLevelType w:val="hybridMultilevel"/>
    <w:tmpl w:val="A014C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D15461"/>
    <w:multiLevelType w:val="singleLevel"/>
    <w:tmpl w:val="002AB44E"/>
    <w:lvl w:ilvl="0">
      <w:start w:val="1"/>
      <w:numFmt w:val="decimal"/>
      <w:lvlText w:val="%1."/>
      <w:legacy w:legacy="1" w:legacySpace="0" w:legacyIndent="283"/>
      <w:lvlJc w:val="left"/>
      <w:pPr>
        <w:ind w:left="283" w:hanging="283"/>
      </w:pPr>
    </w:lvl>
  </w:abstractNum>
  <w:abstractNum w:abstractNumId="23" w15:restartNumberingAfterBreak="0">
    <w:nsid w:val="4685288F"/>
    <w:multiLevelType w:val="hybridMultilevel"/>
    <w:tmpl w:val="6874957A"/>
    <w:lvl w:ilvl="0" w:tplc="7FA201E2">
      <w:start w:val="1"/>
      <w:numFmt w:val="bullet"/>
      <w:pStyle w:val="GrundtextAufzhlung"/>
      <w:lvlText w:val=""/>
      <w:lvlJc w:val="left"/>
      <w:pPr>
        <w:tabs>
          <w:tab w:val="num" w:pos="360"/>
        </w:tabs>
        <w:ind w:left="357" w:hanging="35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2937E1"/>
    <w:multiLevelType w:val="singleLevel"/>
    <w:tmpl w:val="002AB44E"/>
    <w:lvl w:ilvl="0">
      <w:start w:val="1"/>
      <w:numFmt w:val="decimal"/>
      <w:lvlText w:val="%1."/>
      <w:legacy w:legacy="1" w:legacySpace="0" w:legacyIndent="283"/>
      <w:lvlJc w:val="left"/>
      <w:pPr>
        <w:ind w:left="283" w:hanging="283"/>
      </w:pPr>
    </w:lvl>
  </w:abstractNum>
  <w:abstractNum w:abstractNumId="25" w15:restartNumberingAfterBreak="0">
    <w:nsid w:val="4E8A3B75"/>
    <w:multiLevelType w:val="singleLevel"/>
    <w:tmpl w:val="002AB44E"/>
    <w:lvl w:ilvl="0">
      <w:start w:val="1"/>
      <w:numFmt w:val="decimal"/>
      <w:lvlText w:val="%1."/>
      <w:legacy w:legacy="1" w:legacySpace="0" w:legacyIndent="283"/>
      <w:lvlJc w:val="left"/>
      <w:pPr>
        <w:ind w:left="283" w:hanging="283"/>
      </w:pPr>
    </w:lvl>
  </w:abstractNum>
  <w:abstractNum w:abstractNumId="26" w15:restartNumberingAfterBreak="0">
    <w:nsid w:val="58D8327F"/>
    <w:multiLevelType w:val="multilevel"/>
    <w:tmpl w:val="CE46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0315D"/>
    <w:multiLevelType w:val="singleLevel"/>
    <w:tmpl w:val="002AB44E"/>
    <w:lvl w:ilvl="0">
      <w:start w:val="1"/>
      <w:numFmt w:val="decimal"/>
      <w:lvlText w:val="%1."/>
      <w:legacy w:legacy="1" w:legacySpace="0" w:legacyIndent="283"/>
      <w:lvlJc w:val="left"/>
      <w:pPr>
        <w:ind w:left="283" w:hanging="283"/>
      </w:pPr>
    </w:lvl>
  </w:abstractNum>
  <w:abstractNum w:abstractNumId="28" w15:restartNumberingAfterBreak="0">
    <w:nsid w:val="611D5D28"/>
    <w:multiLevelType w:val="hybridMultilevel"/>
    <w:tmpl w:val="9FE6D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5537BD"/>
    <w:multiLevelType w:val="hybridMultilevel"/>
    <w:tmpl w:val="F960A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E571A5"/>
    <w:multiLevelType w:val="multilevel"/>
    <w:tmpl w:val="530A0CE0"/>
    <w:lvl w:ilvl="0">
      <w:start w:val="2000"/>
      <w:numFmt w:val="decimal"/>
      <w:lvlText w:val="%1"/>
      <w:lvlJc w:val="left"/>
      <w:pPr>
        <w:tabs>
          <w:tab w:val="num" w:pos="360"/>
        </w:tabs>
        <w:ind w:left="360" w:hanging="360"/>
      </w:pPr>
      <w:rPr>
        <w:rFonts w:hint="default"/>
      </w:rPr>
    </w:lvl>
    <w:lvl w:ilvl="1">
      <w:start w:val="6"/>
      <w:numFmt w:val="decimalZero"/>
      <w:lvlText w:val="%1-%2"/>
      <w:lvlJc w:val="left"/>
      <w:pPr>
        <w:tabs>
          <w:tab w:val="num" w:pos="360"/>
        </w:tabs>
        <w:ind w:left="360" w:hanging="360"/>
      </w:pPr>
      <w:rPr>
        <w:rFonts w:hint="default"/>
      </w:rPr>
    </w:lvl>
    <w:lvl w:ilvl="2">
      <w:start w:val="8"/>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1FB060C"/>
    <w:multiLevelType w:val="multilevel"/>
    <w:tmpl w:val="434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lvl w:ilvl="0">
        <w:start w:val="1"/>
        <w:numFmt w:val="bullet"/>
        <w:lvlText w:val=""/>
        <w:legacy w:legacy="1" w:legacySpace="0" w:legacyIndent="283"/>
        <w:lvlJc w:val="left"/>
        <w:pPr>
          <w:ind w:left="283" w:hanging="283"/>
        </w:pPr>
        <w:rPr>
          <w:rFonts w:ascii="Helvetica" w:hAnsi="Helvetica" w:hint="default"/>
        </w:rPr>
      </w:lvl>
    </w:lvlOverride>
  </w:num>
  <w:num w:numId="14">
    <w:abstractNumId w:val="23"/>
  </w:num>
  <w:num w:numId="15">
    <w:abstractNumId w:val="19"/>
  </w:num>
  <w:num w:numId="16">
    <w:abstractNumId w:val="13"/>
  </w:num>
  <w:num w:numId="17">
    <w:abstractNumId w:val="22"/>
  </w:num>
  <w:num w:numId="18">
    <w:abstractNumId w:val="12"/>
  </w:num>
  <w:num w:numId="19">
    <w:abstractNumId w:val="30"/>
  </w:num>
  <w:num w:numId="20">
    <w:abstractNumId w:val="15"/>
  </w:num>
  <w:num w:numId="21">
    <w:abstractNumId w:val="14"/>
  </w:num>
  <w:num w:numId="22">
    <w:abstractNumId w:val="24"/>
  </w:num>
  <w:num w:numId="23">
    <w:abstractNumId w:val="10"/>
  </w:num>
  <w:num w:numId="24">
    <w:abstractNumId w:val="10"/>
  </w:num>
  <w:num w:numId="25">
    <w:abstractNumId w:val="27"/>
  </w:num>
  <w:num w:numId="26">
    <w:abstractNumId w:val="16"/>
  </w:num>
  <w:num w:numId="27">
    <w:abstractNumId w:val="25"/>
  </w:num>
  <w:num w:numId="28">
    <w:abstractNumId w:val="31"/>
  </w:num>
  <w:num w:numId="29">
    <w:abstractNumId w:val="17"/>
  </w:num>
  <w:num w:numId="30">
    <w:abstractNumId w:val="18"/>
  </w:num>
  <w:num w:numId="31">
    <w:abstractNumId w:val="21"/>
  </w:num>
  <w:num w:numId="32">
    <w:abstractNumId w:val="29"/>
  </w:num>
  <w:num w:numId="33">
    <w:abstractNumId w:val="26"/>
  </w:num>
  <w:num w:numId="34">
    <w:abstractNumId w:val="2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5B"/>
    <w:rsid w:val="00072E0E"/>
    <w:rsid w:val="00080223"/>
    <w:rsid w:val="00102379"/>
    <w:rsid w:val="001139DE"/>
    <w:rsid w:val="001314D6"/>
    <w:rsid w:val="001A009E"/>
    <w:rsid w:val="001C110A"/>
    <w:rsid w:val="002668C5"/>
    <w:rsid w:val="00284558"/>
    <w:rsid w:val="002A1F2C"/>
    <w:rsid w:val="002D0623"/>
    <w:rsid w:val="00316152"/>
    <w:rsid w:val="0037580C"/>
    <w:rsid w:val="003E46C5"/>
    <w:rsid w:val="00495E2A"/>
    <w:rsid w:val="00497F5F"/>
    <w:rsid w:val="004E6295"/>
    <w:rsid w:val="00527A76"/>
    <w:rsid w:val="00535E31"/>
    <w:rsid w:val="00552B25"/>
    <w:rsid w:val="00574110"/>
    <w:rsid w:val="00594971"/>
    <w:rsid w:val="005F11A4"/>
    <w:rsid w:val="006E24D0"/>
    <w:rsid w:val="00705FB0"/>
    <w:rsid w:val="00707969"/>
    <w:rsid w:val="00730D73"/>
    <w:rsid w:val="00736842"/>
    <w:rsid w:val="00761C11"/>
    <w:rsid w:val="0083304A"/>
    <w:rsid w:val="00835E4F"/>
    <w:rsid w:val="00845DE5"/>
    <w:rsid w:val="00855FF1"/>
    <w:rsid w:val="00863FBC"/>
    <w:rsid w:val="008925E6"/>
    <w:rsid w:val="00895883"/>
    <w:rsid w:val="008A785A"/>
    <w:rsid w:val="008B08B7"/>
    <w:rsid w:val="008D2B86"/>
    <w:rsid w:val="0091538E"/>
    <w:rsid w:val="0094555B"/>
    <w:rsid w:val="009621BD"/>
    <w:rsid w:val="00982DA3"/>
    <w:rsid w:val="00984890"/>
    <w:rsid w:val="00A1306A"/>
    <w:rsid w:val="00A535DB"/>
    <w:rsid w:val="00B56BBB"/>
    <w:rsid w:val="00BA1D2F"/>
    <w:rsid w:val="00CF5AB6"/>
    <w:rsid w:val="00D32402"/>
    <w:rsid w:val="00D4342C"/>
    <w:rsid w:val="00D522EC"/>
    <w:rsid w:val="00E9768D"/>
    <w:rsid w:val="00F10A80"/>
    <w:rsid w:val="00F32AB5"/>
    <w:rsid w:val="00F61DDF"/>
    <w:rsid w:val="00F63078"/>
    <w:rsid w:val="00F67FE7"/>
    <w:rsid w:val="00FF3B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2672E"/>
  <w15:chartTrackingRefBased/>
  <w15:docId w15:val="{B78FF41F-6F48-4BEF-8442-90CEA3FF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next w:val="Grundtext"/>
    <w:qFormat/>
    <w:pPr>
      <w:keepNext/>
      <w:keepLines/>
      <w:pageBreakBefore/>
      <w:numPr>
        <w:numId w:val="24"/>
      </w:numPr>
      <w:spacing w:after="160" w:line="360" w:lineRule="auto"/>
      <w:outlineLvl w:val="0"/>
    </w:pPr>
    <w:rPr>
      <w:b/>
      <w:kern w:val="28"/>
      <w:sz w:val="28"/>
    </w:rPr>
  </w:style>
  <w:style w:type="paragraph" w:styleId="berschrift2">
    <w:name w:val="heading 2"/>
    <w:basedOn w:val="berschrift1"/>
    <w:next w:val="Grundtext"/>
    <w:qFormat/>
    <w:pPr>
      <w:pageBreakBefore w:val="0"/>
      <w:numPr>
        <w:ilvl w:val="1"/>
      </w:numPr>
      <w:spacing w:before="320"/>
      <w:outlineLvl w:val="1"/>
    </w:pPr>
    <w:rPr>
      <w:sz w:val="24"/>
    </w:rPr>
  </w:style>
  <w:style w:type="paragraph" w:styleId="berschrift3">
    <w:name w:val="heading 3"/>
    <w:basedOn w:val="berschrift2"/>
    <w:next w:val="Grundtext"/>
    <w:qFormat/>
    <w:pPr>
      <w:numPr>
        <w:ilvl w:val="2"/>
      </w:numPr>
      <w:outlineLvl w:val="2"/>
    </w:pPr>
  </w:style>
  <w:style w:type="paragraph" w:styleId="berschrift4">
    <w:name w:val="heading 4"/>
    <w:basedOn w:val="Grundtext"/>
    <w:next w:val="Grundtext"/>
    <w:qFormat/>
    <w:pPr>
      <w:outlineLvl w:val="3"/>
    </w:pPr>
    <w:rPr>
      <w:i/>
    </w:rPr>
  </w:style>
  <w:style w:type="paragraph" w:styleId="berschrift5">
    <w:name w:val="heading 5"/>
    <w:basedOn w:val="berschrift4"/>
    <w:next w:val="Grundtext"/>
    <w:qFormat/>
    <w:pPr>
      <w:numPr>
        <w:ilvl w:val="4"/>
        <w:numId w:val="24"/>
      </w:numPr>
      <w:spacing w:before="160"/>
      <w:outlineLvl w:val="4"/>
    </w:pPr>
    <w:rPr>
      <w:b/>
    </w:rPr>
  </w:style>
  <w:style w:type="paragraph" w:styleId="berschrift6">
    <w:name w:val="heading 6"/>
    <w:basedOn w:val="Standard"/>
    <w:next w:val="Standard"/>
    <w:qFormat/>
    <w:pPr>
      <w:numPr>
        <w:ilvl w:val="5"/>
        <w:numId w:val="24"/>
      </w:numPr>
      <w:spacing w:before="240" w:after="60"/>
      <w:outlineLvl w:val="5"/>
    </w:pPr>
    <w:rPr>
      <w:i/>
      <w:sz w:val="22"/>
    </w:rPr>
  </w:style>
  <w:style w:type="paragraph" w:styleId="berschrift7">
    <w:name w:val="heading 7"/>
    <w:basedOn w:val="Standard"/>
    <w:next w:val="Standard"/>
    <w:qFormat/>
    <w:pPr>
      <w:numPr>
        <w:ilvl w:val="6"/>
        <w:numId w:val="24"/>
      </w:numPr>
      <w:spacing w:before="240" w:after="60"/>
      <w:outlineLvl w:val="6"/>
    </w:pPr>
    <w:rPr>
      <w:rFonts w:ascii="Arial" w:hAnsi="Arial"/>
    </w:rPr>
  </w:style>
  <w:style w:type="paragraph" w:styleId="berschrift8">
    <w:name w:val="heading 8"/>
    <w:basedOn w:val="berschrift2"/>
    <w:next w:val="Grundtext"/>
    <w:qFormat/>
    <w:pPr>
      <w:numPr>
        <w:ilvl w:val="7"/>
      </w:numPr>
      <w:outlineLvl w:val="7"/>
    </w:pPr>
  </w:style>
  <w:style w:type="paragraph" w:styleId="berschrift9">
    <w:name w:val="heading 9"/>
    <w:basedOn w:val="berschrift3"/>
    <w:next w:val="Grundtext"/>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pPr>
      <w:tabs>
        <w:tab w:val="center" w:pos="4536"/>
        <w:tab w:val="right" w:pos="9072"/>
      </w:tabs>
    </w:pPr>
  </w:style>
  <w:style w:type="paragraph" w:customStyle="1" w:styleId="Grundtext">
    <w:name w:val="Grundtext"/>
    <w:pPr>
      <w:spacing w:after="240" w:line="360" w:lineRule="atLeast"/>
      <w:jc w:val="both"/>
    </w:pPr>
    <w:rPr>
      <w:sz w:val="24"/>
    </w:rPr>
  </w:style>
  <w:style w:type="character" w:styleId="Seitenzahl">
    <w:name w:val="page number"/>
    <w:basedOn w:val="Absatz-Standardschriftart"/>
  </w:style>
  <w:style w:type="paragraph" w:customStyle="1" w:styleId="Grundtextzentriert">
    <w:name w:val="Grundtext (zentriert)"/>
    <w:basedOn w:val="Grundtext"/>
    <w:pPr>
      <w:spacing w:after="0" w:line="320" w:lineRule="atLeast"/>
      <w:jc w:val="center"/>
    </w:pPr>
  </w:style>
  <w:style w:type="character" w:customStyle="1" w:styleId="Grundzfett">
    <w:name w:val="Grundz. (fett)"/>
    <w:rPr>
      <w:b/>
    </w:rPr>
  </w:style>
  <w:style w:type="paragraph" w:styleId="Fuzeile">
    <w:name w:val="footer"/>
    <w:pPr>
      <w:tabs>
        <w:tab w:val="center" w:pos="4536"/>
        <w:tab w:val="right" w:pos="9072"/>
      </w:tabs>
    </w:pPr>
  </w:style>
  <w:style w:type="paragraph" w:customStyle="1" w:styleId="GrundtextEinrckung">
    <w:name w:val="Grundtext (Einrückung)"/>
    <w:basedOn w:val="Grundtext"/>
    <w:pPr>
      <w:spacing w:after="0" w:line="240" w:lineRule="auto"/>
      <w:ind w:left="1701" w:hanging="1701"/>
      <w:jc w:val="left"/>
    </w:pPr>
  </w:style>
  <w:style w:type="paragraph" w:customStyle="1" w:styleId="Grundtextwieberschr1">
    <w:name w:val="Grundtext (wie Überschr1)"/>
    <w:basedOn w:val="berschrift1"/>
    <w:next w:val="Grundtext"/>
    <w:pPr>
      <w:outlineLvl w:val="9"/>
    </w:pPr>
  </w:style>
  <w:style w:type="paragraph" w:styleId="Verzeichnis1">
    <w:name w:val="toc 1"/>
    <w:next w:val="Verzeichnis2"/>
    <w:semiHidden/>
    <w:pPr>
      <w:keepNext/>
      <w:tabs>
        <w:tab w:val="right" w:leader="dot" w:pos="8505"/>
      </w:tabs>
      <w:spacing w:before="100"/>
      <w:ind w:left="284" w:hanging="284"/>
    </w:pPr>
    <w:rPr>
      <w:noProof/>
      <w:sz w:val="24"/>
    </w:rPr>
  </w:style>
  <w:style w:type="paragraph" w:styleId="Verzeichnis2">
    <w:name w:val="toc 2"/>
    <w:basedOn w:val="Verzeichnis1"/>
    <w:next w:val="Verzeichnis3"/>
    <w:semiHidden/>
    <w:pPr>
      <w:keepNext w:val="0"/>
      <w:spacing w:before="40"/>
      <w:ind w:left="709" w:hanging="425"/>
    </w:pPr>
  </w:style>
  <w:style w:type="paragraph" w:styleId="Verzeichnis3">
    <w:name w:val="toc 3"/>
    <w:basedOn w:val="Verzeichnis2"/>
    <w:next w:val="Verzeichnis4"/>
    <w:semiHidden/>
    <w:pPr>
      <w:spacing w:before="0"/>
      <w:ind w:left="1276" w:hanging="567"/>
    </w:pPr>
  </w:style>
  <w:style w:type="paragraph" w:styleId="Verzeichnis4">
    <w:name w:val="toc 4"/>
    <w:basedOn w:val="Verzeichnis3"/>
    <w:next w:val="Verzeichnis5"/>
    <w:semiHidden/>
    <w:pPr>
      <w:ind w:left="1985" w:hanging="709"/>
    </w:pPr>
  </w:style>
  <w:style w:type="paragraph" w:styleId="Verzeichnis5">
    <w:name w:val="toc 5"/>
    <w:basedOn w:val="Verzeichnis4"/>
    <w:next w:val="Verzeichnis6"/>
    <w:semiHidden/>
  </w:style>
  <w:style w:type="paragraph" w:styleId="Verzeichnis6">
    <w:name w:val="toc 6"/>
    <w:basedOn w:val="Standard"/>
    <w:next w:val="Standard"/>
    <w:semiHidden/>
    <w:pPr>
      <w:tabs>
        <w:tab w:val="right" w:leader="dot" w:pos="8505"/>
      </w:tabs>
      <w:ind w:left="1000"/>
    </w:pPr>
  </w:style>
  <w:style w:type="paragraph" w:styleId="Verzeichnis7">
    <w:name w:val="toc 7"/>
    <w:basedOn w:val="Standard"/>
    <w:next w:val="Standard"/>
    <w:semiHidden/>
    <w:pPr>
      <w:tabs>
        <w:tab w:val="right" w:leader="dot" w:pos="8505"/>
      </w:tabs>
      <w:ind w:left="1200"/>
    </w:pPr>
  </w:style>
  <w:style w:type="paragraph" w:styleId="Verzeichnis8">
    <w:name w:val="toc 8"/>
    <w:basedOn w:val="Verzeichnis2"/>
    <w:next w:val="Standard"/>
    <w:semiHidden/>
  </w:style>
  <w:style w:type="paragraph" w:styleId="Verzeichnis9">
    <w:name w:val="toc 9"/>
    <w:basedOn w:val="Verzeichnis3"/>
    <w:next w:val="Standard"/>
    <w:semiHidden/>
    <w:pPr>
      <w:ind w:left="567"/>
    </w:pPr>
  </w:style>
  <w:style w:type="paragraph" w:styleId="Abbildungsverzeichnis">
    <w:name w:val="table of figures"/>
    <w:next w:val="Grundtext"/>
    <w:semiHidden/>
    <w:pPr>
      <w:tabs>
        <w:tab w:val="right" w:leader="dot" w:pos="8505"/>
      </w:tabs>
      <w:ind w:left="1134" w:hanging="1134"/>
    </w:pPr>
    <w:rPr>
      <w:sz w:val="24"/>
    </w:rPr>
  </w:style>
  <w:style w:type="paragraph" w:customStyle="1" w:styleId="AnmdAutors">
    <w:name w:val="Anm.d.Autors"/>
    <w:next w:val="Grundtext"/>
    <w:pPr>
      <w:spacing w:before="160" w:after="320"/>
      <w:ind w:left="567" w:right="567"/>
    </w:pPr>
    <w:rPr>
      <w:i/>
      <w:sz w:val="24"/>
    </w:rPr>
  </w:style>
  <w:style w:type="character" w:customStyle="1" w:styleId="Grundzenglisch">
    <w:name w:val="Grundz. (englisch)"/>
    <w:rPr>
      <w:noProof w:val="0"/>
      <w:lang w:val="en-GB"/>
    </w:rPr>
  </w:style>
  <w:style w:type="character" w:customStyle="1" w:styleId="Grundzfranzschisch">
    <w:name w:val="Grundz. (französchisch)"/>
    <w:rPr>
      <w:noProof w:val="0"/>
      <w:lang w:val="fr-FR"/>
    </w:rPr>
  </w:style>
  <w:style w:type="character" w:customStyle="1" w:styleId="GrundzkeineSprache">
    <w:name w:val="Grundz. (keine Sprache)"/>
    <w:rPr>
      <w:noProof/>
    </w:rPr>
  </w:style>
  <w:style w:type="paragraph" w:styleId="Funotentext">
    <w:name w:val="footnote text"/>
    <w:semiHidden/>
    <w:pPr>
      <w:ind w:left="425" w:hanging="425"/>
      <w:jc w:val="both"/>
    </w:pPr>
  </w:style>
  <w:style w:type="character" w:customStyle="1" w:styleId="Grundzkursiv">
    <w:name w:val="Grundz. (kursiv)"/>
    <w:rPr>
      <w:i/>
    </w:rPr>
  </w:style>
  <w:style w:type="character" w:styleId="Funotenzeichen">
    <w:name w:val="footnote reference"/>
    <w:semiHidden/>
    <w:rPr>
      <w:sz w:val="20"/>
      <w:vertAlign w:val="superscript"/>
    </w:rPr>
  </w:style>
  <w:style w:type="paragraph" w:styleId="Index3">
    <w:name w:val="index 3"/>
    <w:basedOn w:val="Standard"/>
    <w:next w:val="Standard"/>
    <w:semiHidden/>
    <w:pPr>
      <w:tabs>
        <w:tab w:val="right" w:leader="dot" w:pos="4034"/>
      </w:tabs>
      <w:ind w:left="600" w:hanging="200"/>
    </w:pPr>
  </w:style>
  <w:style w:type="paragraph" w:styleId="Index1">
    <w:name w:val="index 1"/>
    <w:next w:val="Index2"/>
    <w:semiHidden/>
    <w:pPr>
      <w:tabs>
        <w:tab w:val="right" w:leader="dot" w:pos="4034"/>
      </w:tabs>
      <w:ind w:left="200" w:hanging="200"/>
    </w:pPr>
  </w:style>
  <w:style w:type="paragraph" w:styleId="Index2">
    <w:name w:val="index 2"/>
    <w:basedOn w:val="Standard"/>
    <w:next w:val="Standard"/>
    <w:semiHidden/>
    <w:pPr>
      <w:tabs>
        <w:tab w:val="right" w:leader="dot" w:pos="4034"/>
      </w:tabs>
      <w:ind w:left="400" w:hanging="200"/>
    </w:pPr>
  </w:style>
  <w:style w:type="paragraph" w:styleId="Index4">
    <w:name w:val="index 4"/>
    <w:basedOn w:val="Standard"/>
    <w:next w:val="Standard"/>
    <w:semiHidden/>
    <w:pPr>
      <w:tabs>
        <w:tab w:val="right" w:leader="dot" w:pos="4034"/>
      </w:tabs>
      <w:ind w:left="800" w:hanging="200"/>
    </w:pPr>
  </w:style>
  <w:style w:type="paragraph" w:styleId="Index5">
    <w:name w:val="index 5"/>
    <w:basedOn w:val="Standard"/>
    <w:next w:val="Standard"/>
    <w:semiHidden/>
    <w:pPr>
      <w:tabs>
        <w:tab w:val="right" w:leader="dot" w:pos="4034"/>
      </w:tabs>
      <w:ind w:left="1000" w:hanging="200"/>
    </w:pPr>
  </w:style>
  <w:style w:type="paragraph" w:styleId="Index6">
    <w:name w:val="index 6"/>
    <w:basedOn w:val="Standard"/>
    <w:next w:val="Standard"/>
    <w:semiHidden/>
    <w:pPr>
      <w:tabs>
        <w:tab w:val="right" w:leader="dot" w:pos="4034"/>
      </w:tabs>
      <w:ind w:left="1200" w:hanging="200"/>
    </w:pPr>
  </w:style>
  <w:style w:type="paragraph" w:styleId="Index7">
    <w:name w:val="index 7"/>
    <w:basedOn w:val="Standard"/>
    <w:next w:val="Standard"/>
    <w:semiHidden/>
    <w:pPr>
      <w:tabs>
        <w:tab w:val="right" w:leader="dot" w:pos="4034"/>
      </w:tabs>
      <w:ind w:left="1400" w:hanging="200"/>
    </w:pPr>
  </w:style>
  <w:style w:type="paragraph" w:styleId="Index8">
    <w:name w:val="index 8"/>
    <w:basedOn w:val="Standard"/>
    <w:next w:val="Standard"/>
    <w:semiHidden/>
    <w:pPr>
      <w:tabs>
        <w:tab w:val="right" w:leader="dot" w:pos="4034"/>
      </w:tabs>
      <w:ind w:left="1600" w:hanging="200"/>
    </w:pPr>
  </w:style>
  <w:style w:type="paragraph" w:styleId="Index9">
    <w:name w:val="index 9"/>
    <w:basedOn w:val="Standard"/>
    <w:next w:val="Standard"/>
    <w:semiHidden/>
    <w:pPr>
      <w:tabs>
        <w:tab w:val="right" w:leader="dot" w:pos="4034"/>
      </w:tabs>
      <w:ind w:left="1800" w:hanging="200"/>
    </w:pPr>
  </w:style>
  <w:style w:type="paragraph" w:styleId="Indexberschrift">
    <w:name w:val="index heading"/>
    <w:basedOn w:val="Standard"/>
    <w:next w:val="Index1"/>
    <w:semiHidden/>
  </w:style>
  <w:style w:type="paragraph" w:customStyle="1" w:styleId="MakroErgebnis">
    <w:name w:val="MakroErgebnis"/>
    <w:pPr>
      <w:ind w:left="2268" w:hanging="2268"/>
    </w:pPr>
    <w:rPr>
      <w:rFonts w:ascii="Arial" w:hAnsi="Arial"/>
      <w:noProof/>
      <w:sz w:val="16"/>
    </w:rPr>
  </w:style>
  <w:style w:type="paragraph" w:customStyle="1" w:styleId="Literatureintrag">
    <w:name w:val="Literatureintrag"/>
    <w:pPr>
      <w:spacing w:line="320" w:lineRule="atLeast"/>
      <w:ind w:left="851" w:hanging="851"/>
    </w:pPr>
    <w:rPr>
      <w:sz w:val="24"/>
    </w:rPr>
  </w:style>
  <w:style w:type="paragraph" w:customStyle="1" w:styleId="Zwberschr1">
    <w:name w:val="ZwÜberschr1"/>
    <w:next w:val="Grundtext"/>
    <w:pPr>
      <w:keepNext/>
      <w:spacing w:before="360" w:after="60" w:line="360" w:lineRule="auto"/>
    </w:pPr>
    <w:rPr>
      <w:i/>
      <w:sz w:val="24"/>
    </w:rPr>
  </w:style>
  <w:style w:type="paragraph" w:customStyle="1" w:styleId="Zwberschr2">
    <w:name w:val="ZwÜberschr2"/>
    <w:basedOn w:val="Zwberschr1"/>
    <w:next w:val="Grundtext"/>
    <w:pPr>
      <w:spacing w:before="240"/>
    </w:pPr>
    <w:rPr>
      <w:i w:val="0"/>
    </w:rPr>
  </w:style>
  <w:style w:type="paragraph" w:customStyle="1" w:styleId="Grafik">
    <w:name w:val="Grafik"/>
    <w:basedOn w:val="Grundtext"/>
    <w:next w:val="GrafikQuelle"/>
    <w:pPr>
      <w:keepNext/>
      <w:spacing w:after="60" w:line="240" w:lineRule="auto"/>
      <w:jc w:val="left"/>
    </w:pPr>
  </w:style>
  <w:style w:type="paragraph" w:customStyle="1" w:styleId="GrafikQuelle">
    <w:name w:val="GrafikQuelle"/>
    <w:basedOn w:val="Grundtext"/>
    <w:next w:val="Beschriftung"/>
    <w:pPr>
      <w:keepNext/>
      <w:spacing w:after="0" w:line="240" w:lineRule="auto"/>
      <w:jc w:val="right"/>
    </w:pPr>
  </w:style>
  <w:style w:type="paragraph" w:customStyle="1" w:styleId="GrundtextAufzhlung">
    <w:name w:val="Grundtext (Aufzählung)"/>
    <w:basedOn w:val="Grundtext"/>
    <w:pPr>
      <w:numPr>
        <w:numId w:val="14"/>
      </w:numPr>
    </w:pPr>
  </w:style>
  <w:style w:type="paragraph" w:styleId="Beschriftung">
    <w:name w:val="caption"/>
    <w:next w:val="Grundtext"/>
    <w:qFormat/>
    <w:pPr>
      <w:spacing w:before="120" w:after="120" w:line="360" w:lineRule="auto"/>
      <w:ind w:left="1418" w:hanging="1418"/>
    </w:pPr>
    <w:rPr>
      <w:b/>
      <w:sz w:val="24"/>
    </w:rPr>
  </w:style>
  <w:style w:type="character" w:customStyle="1" w:styleId="GrundzCourier">
    <w:name w:val="Grundz. (Courier)"/>
    <w:rPr>
      <w:rFonts w:ascii="Courier New" w:hAnsi="Courier New"/>
      <w:sz w:val="24"/>
    </w:rPr>
  </w:style>
  <w:style w:type="paragraph" w:customStyle="1" w:styleId="GrundtextNumerierung">
    <w:name w:val="Grundtext (Numerierung)"/>
    <w:basedOn w:val="GrundtextAufzhlung"/>
  </w:style>
  <w:style w:type="paragraph" w:customStyle="1" w:styleId="AnmdAutorsAufz">
    <w:name w:val="Anm.d.Autors(Aufz.)"/>
    <w:basedOn w:val="AnmdAutors"/>
    <w:pPr>
      <w:spacing w:before="80" w:after="160"/>
      <w:ind w:left="851" w:hanging="284"/>
    </w:pPr>
  </w:style>
  <w:style w:type="paragraph" w:customStyle="1" w:styleId="GrundtextSQL">
    <w:name w:val="Grundtext (SQL)"/>
    <w:basedOn w:val="Grundtext"/>
    <w:pPr>
      <w:tabs>
        <w:tab w:val="left" w:pos="1134"/>
      </w:tabs>
      <w:spacing w:after="0"/>
      <w:ind w:left="1134" w:hanging="1134"/>
      <w:jc w:val="left"/>
    </w:pPr>
    <w:rPr>
      <w:rFonts w:ascii="Courier New" w:hAnsi="Courier New"/>
    </w:rPr>
  </w:style>
  <w:style w:type="character" w:customStyle="1" w:styleId="GrundzKapitlchen">
    <w:name w:val="Grundz. (Kapitälchen)"/>
    <w:rPr>
      <w:smallCaps/>
    </w:rPr>
  </w:style>
  <w:style w:type="character" w:customStyle="1" w:styleId="Grundzunterstr">
    <w:name w:val="Grundz. (unterstr.)"/>
    <w:rPr>
      <w:u w:val="single"/>
    </w:r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paragraph" w:customStyle="1" w:styleId="GrundtextTabelle">
    <w:name w:val="Grundtext (Tabelle)"/>
    <w:basedOn w:val="Grundtext"/>
    <w:pPr>
      <w:spacing w:after="0" w:line="240" w:lineRule="atLeast"/>
      <w:jc w:val="left"/>
    </w:pPr>
    <w:rPr>
      <w:sz w:val="20"/>
    </w:rPr>
  </w:style>
  <w:style w:type="character" w:customStyle="1" w:styleId="Grundzhochgestellt">
    <w:name w:val="Grundz. (hochgestellt)"/>
    <w:rPr>
      <w:vertAlign w:val="superscript"/>
    </w:rPr>
  </w:style>
  <w:style w:type="character" w:customStyle="1" w:styleId="Grundztiefgestellt">
    <w:name w:val="Grundz. (tiefgestellt)"/>
    <w:rPr>
      <w:vertAlign w:val="subscript"/>
    </w:rPr>
  </w:style>
  <w:style w:type="character" w:customStyle="1" w:styleId="KopfzeileZchn">
    <w:name w:val="Kopfzeile Zchn"/>
    <w:link w:val="Kopfzeile"/>
    <w:uiPriority w:val="99"/>
    <w:rsid w:val="001A009E"/>
  </w:style>
  <w:style w:type="table" w:styleId="Tabellenraster">
    <w:name w:val="Table Grid"/>
    <w:basedOn w:val="NormaleTabelle"/>
    <w:uiPriority w:val="39"/>
    <w:rsid w:val="001A0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2AB5"/>
    <w:pPr>
      <w:ind w:left="720"/>
      <w:contextualSpacing/>
    </w:pPr>
  </w:style>
  <w:style w:type="character" w:styleId="NichtaufgelsteErwhnung">
    <w:name w:val="Unresolved Mention"/>
    <w:basedOn w:val="Absatz-Standardschriftart"/>
    <w:uiPriority w:val="99"/>
    <w:semiHidden/>
    <w:unhideWhenUsed/>
    <w:rsid w:val="00D43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398047">
      <w:bodyDiv w:val="1"/>
      <w:marLeft w:val="0"/>
      <w:marRight w:val="0"/>
      <w:marTop w:val="0"/>
      <w:marBottom w:val="0"/>
      <w:divBdr>
        <w:top w:val="none" w:sz="0" w:space="0" w:color="auto"/>
        <w:left w:val="none" w:sz="0" w:space="0" w:color="auto"/>
        <w:bottom w:val="none" w:sz="0" w:space="0" w:color="auto"/>
        <w:right w:val="none" w:sz="0" w:space="0" w:color="auto"/>
      </w:divBdr>
    </w:div>
    <w:div w:id="11864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rimm-jaud.de/index.php/private-vortraege/27-broker-pattern" TargetMode="External"/><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8.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32C6C-1591-4A60-B843-692E990B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2200</Words>
  <Characters>13863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Dokumentvorlage für wissenschaftliche Arbeiten</vt:lpstr>
    </vt:vector>
  </TitlesOfParts>
  <Company>Wirtschaftsinformatik</Company>
  <LinksUpToDate>false</LinksUpToDate>
  <CharactersWithSpaces>16031</CharactersWithSpaces>
  <SharedDoc>false</SharedDoc>
  <HLinks>
    <vt:vector size="150" baseType="variant">
      <vt:variant>
        <vt:i4>1507384</vt:i4>
      </vt:variant>
      <vt:variant>
        <vt:i4>158</vt:i4>
      </vt:variant>
      <vt:variant>
        <vt:i4>0</vt:i4>
      </vt:variant>
      <vt:variant>
        <vt:i4>5</vt:i4>
      </vt:variant>
      <vt:variant>
        <vt:lpwstr/>
      </vt:variant>
      <vt:variant>
        <vt:lpwstr>_Toc503261835</vt:lpwstr>
      </vt:variant>
      <vt:variant>
        <vt:i4>1507384</vt:i4>
      </vt:variant>
      <vt:variant>
        <vt:i4>152</vt:i4>
      </vt:variant>
      <vt:variant>
        <vt:i4>0</vt:i4>
      </vt:variant>
      <vt:variant>
        <vt:i4>5</vt:i4>
      </vt:variant>
      <vt:variant>
        <vt:lpwstr/>
      </vt:variant>
      <vt:variant>
        <vt:lpwstr>_Toc503261834</vt:lpwstr>
      </vt:variant>
      <vt:variant>
        <vt:i4>1507384</vt:i4>
      </vt:variant>
      <vt:variant>
        <vt:i4>146</vt:i4>
      </vt:variant>
      <vt:variant>
        <vt:i4>0</vt:i4>
      </vt:variant>
      <vt:variant>
        <vt:i4>5</vt:i4>
      </vt:variant>
      <vt:variant>
        <vt:lpwstr/>
      </vt:variant>
      <vt:variant>
        <vt:lpwstr>_Toc503261833</vt:lpwstr>
      </vt:variant>
      <vt:variant>
        <vt:i4>1507384</vt:i4>
      </vt:variant>
      <vt:variant>
        <vt:i4>140</vt:i4>
      </vt:variant>
      <vt:variant>
        <vt:i4>0</vt:i4>
      </vt:variant>
      <vt:variant>
        <vt:i4>5</vt:i4>
      </vt:variant>
      <vt:variant>
        <vt:lpwstr/>
      </vt:variant>
      <vt:variant>
        <vt:lpwstr>_Toc503261832</vt:lpwstr>
      </vt:variant>
      <vt:variant>
        <vt:i4>1507384</vt:i4>
      </vt:variant>
      <vt:variant>
        <vt:i4>134</vt:i4>
      </vt:variant>
      <vt:variant>
        <vt:i4>0</vt:i4>
      </vt:variant>
      <vt:variant>
        <vt:i4>5</vt:i4>
      </vt:variant>
      <vt:variant>
        <vt:lpwstr/>
      </vt:variant>
      <vt:variant>
        <vt:lpwstr>_Toc503261831</vt:lpwstr>
      </vt:variant>
      <vt:variant>
        <vt:i4>1507384</vt:i4>
      </vt:variant>
      <vt:variant>
        <vt:i4>128</vt:i4>
      </vt:variant>
      <vt:variant>
        <vt:i4>0</vt:i4>
      </vt:variant>
      <vt:variant>
        <vt:i4>5</vt:i4>
      </vt:variant>
      <vt:variant>
        <vt:lpwstr/>
      </vt:variant>
      <vt:variant>
        <vt:lpwstr>_Toc503261830</vt:lpwstr>
      </vt:variant>
      <vt:variant>
        <vt:i4>1441848</vt:i4>
      </vt:variant>
      <vt:variant>
        <vt:i4>122</vt:i4>
      </vt:variant>
      <vt:variant>
        <vt:i4>0</vt:i4>
      </vt:variant>
      <vt:variant>
        <vt:i4>5</vt:i4>
      </vt:variant>
      <vt:variant>
        <vt:lpwstr/>
      </vt:variant>
      <vt:variant>
        <vt:lpwstr>_Toc503261829</vt:lpwstr>
      </vt:variant>
      <vt:variant>
        <vt:i4>1441848</vt:i4>
      </vt:variant>
      <vt:variant>
        <vt:i4>116</vt:i4>
      </vt:variant>
      <vt:variant>
        <vt:i4>0</vt:i4>
      </vt:variant>
      <vt:variant>
        <vt:i4>5</vt:i4>
      </vt:variant>
      <vt:variant>
        <vt:lpwstr/>
      </vt:variant>
      <vt:variant>
        <vt:lpwstr>_Toc503261828</vt:lpwstr>
      </vt:variant>
      <vt:variant>
        <vt:i4>1441848</vt:i4>
      </vt:variant>
      <vt:variant>
        <vt:i4>110</vt:i4>
      </vt:variant>
      <vt:variant>
        <vt:i4>0</vt:i4>
      </vt:variant>
      <vt:variant>
        <vt:i4>5</vt:i4>
      </vt:variant>
      <vt:variant>
        <vt:lpwstr/>
      </vt:variant>
      <vt:variant>
        <vt:lpwstr>_Toc503261827</vt:lpwstr>
      </vt:variant>
      <vt:variant>
        <vt:i4>1441848</vt:i4>
      </vt:variant>
      <vt:variant>
        <vt:i4>104</vt:i4>
      </vt:variant>
      <vt:variant>
        <vt:i4>0</vt:i4>
      </vt:variant>
      <vt:variant>
        <vt:i4>5</vt:i4>
      </vt:variant>
      <vt:variant>
        <vt:lpwstr/>
      </vt:variant>
      <vt:variant>
        <vt:lpwstr>_Toc503261826</vt:lpwstr>
      </vt:variant>
      <vt:variant>
        <vt:i4>1441848</vt:i4>
      </vt:variant>
      <vt:variant>
        <vt:i4>98</vt:i4>
      </vt:variant>
      <vt:variant>
        <vt:i4>0</vt:i4>
      </vt:variant>
      <vt:variant>
        <vt:i4>5</vt:i4>
      </vt:variant>
      <vt:variant>
        <vt:lpwstr/>
      </vt:variant>
      <vt:variant>
        <vt:lpwstr>_Toc503261825</vt:lpwstr>
      </vt:variant>
      <vt:variant>
        <vt:i4>1441848</vt:i4>
      </vt:variant>
      <vt:variant>
        <vt:i4>92</vt:i4>
      </vt:variant>
      <vt:variant>
        <vt:i4>0</vt:i4>
      </vt:variant>
      <vt:variant>
        <vt:i4>5</vt:i4>
      </vt:variant>
      <vt:variant>
        <vt:lpwstr/>
      </vt:variant>
      <vt:variant>
        <vt:lpwstr>_Toc503261824</vt:lpwstr>
      </vt:variant>
      <vt:variant>
        <vt:i4>1441848</vt:i4>
      </vt:variant>
      <vt:variant>
        <vt:i4>86</vt:i4>
      </vt:variant>
      <vt:variant>
        <vt:i4>0</vt:i4>
      </vt:variant>
      <vt:variant>
        <vt:i4>5</vt:i4>
      </vt:variant>
      <vt:variant>
        <vt:lpwstr/>
      </vt:variant>
      <vt:variant>
        <vt:lpwstr>_Toc503261823</vt:lpwstr>
      </vt:variant>
      <vt:variant>
        <vt:i4>1441848</vt:i4>
      </vt:variant>
      <vt:variant>
        <vt:i4>80</vt:i4>
      </vt:variant>
      <vt:variant>
        <vt:i4>0</vt:i4>
      </vt:variant>
      <vt:variant>
        <vt:i4>5</vt:i4>
      </vt:variant>
      <vt:variant>
        <vt:lpwstr/>
      </vt:variant>
      <vt:variant>
        <vt:lpwstr>_Toc503261822</vt:lpwstr>
      </vt:variant>
      <vt:variant>
        <vt:i4>1441848</vt:i4>
      </vt:variant>
      <vt:variant>
        <vt:i4>74</vt:i4>
      </vt:variant>
      <vt:variant>
        <vt:i4>0</vt:i4>
      </vt:variant>
      <vt:variant>
        <vt:i4>5</vt:i4>
      </vt:variant>
      <vt:variant>
        <vt:lpwstr/>
      </vt:variant>
      <vt:variant>
        <vt:lpwstr>_Toc503261821</vt:lpwstr>
      </vt:variant>
      <vt:variant>
        <vt:i4>1441848</vt:i4>
      </vt:variant>
      <vt:variant>
        <vt:i4>68</vt:i4>
      </vt:variant>
      <vt:variant>
        <vt:i4>0</vt:i4>
      </vt:variant>
      <vt:variant>
        <vt:i4>5</vt:i4>
      </vt:variant>
      <vt:variant>
        <vt:lpwstr/>
      </vt:variant>
      <vt:variant>
        <vt:lpwstr>_Toc503261820</vt:lpwstr>
      </vt:variant>
      <vt:variant>
        <vt:i4>1376312</vt:i4>
      </vt:variant>
      <vt:variant>
        <vt:i4>62</vt:i4>
      </vt:variant>
      <vt:variant>
        <vt:i4>0</vt:i4>
      </vt:variant>
      <vt:variant>
        <vt:i4>5</vt:i4>
      </vt:variant>
      <vt:variant>
        <vt:lpwstr/>
      </vt:variant>
      <vt:variant>
        <vt:lpwstr>_Toc503261819</vt:lpwstr>
      </vt:variant>
      <vt:variant>
        <vt:i4>1376312</vt:i4>
      </vt:variant>
      <vt:variant>
        <vt:i4>56</vt:i4>
      </vt:variant>
      <vt:variant>
        <vt:i4>0</vt:i4>
      </vt:variant>
      <vt:variant>
        <vt:i4>5</vt:i4>
      </vt:variant>
      <vt:variant>
        <vt:lpwstr/>
      </vt:variant>
      <vt:variant>
        <vt:lpwstr>_Toc503261818</vt:lpwstr>
      </vt:variant>
      <vt:variant>
        <vt:i4>1376312</vt:i4>
      </vt:variant>
      <vt:variant>
        <vt:i4>50</vt:i4>
      </vt:variant>
      <vt:variant>
        <vt:i4>0</vt:i4>
      </vt:variant>
      <vt:variant>
        <vt:i4>5</vt:i4>
      </vt:variant>
      <vt:variant>
        <vt:lpwstr/>
      </vt:variant>
      <vt:variant>
        <vt:lpwstr>_Toc503261817</vt:lpwstr>
      </vt:variant>
      <vt:variant>
        <vt:i4>1376312</vt:i4>
      </vt:variant>
      <vt:variant>
        <vt:i4>44</vt:i4>
      </vt:variant>
      <vt:variant>
        <vt:i4>0</vt:i4>
      </vt:variant>
      <vt:variant>
        <vt:i4>5</vt:i4>
      </vt:variant>
      <vt:variant>
        <vt:lpwstr/>
      </vt:variant>
      <vt:variant>
        <vt:lpwstr>_Toc503261816</vt:lpwstr>
      </vt:variant>
      <vt:variant>
        <vt:i4>1376312</vt:i4>
      </vt:variant>
      <vt:variant>
        <vt:i4>38</vt:i4>
      </vt:variant>
      <vt:variant>
        <vt:i4>0</vt:i4>
      </vt:variant>
      <vt:variant>
        <vt:i4>5</vt:i4>
      </vt:variant>
      <vt:variant>
        <vt:lpwstr/>
      </vt:variant>
      <vt:variant>
        <vt:lpwstr>_Toc503261815</vt:lpwstr>
      </vt:variant>
      <vt:variant>
        <vt:i4>1376312</vt:i4>
      </vt:variant>
      <vt:variant>
        <vt:i4>32</vt:i4>
      </vt:variant>
      <vt:variant>
        <vt:i4>0</vt:i4>
      </vt:variant>
      <vt:variant>
        <vt:i4>5</vt:i4>
      </vt:variant>
      <vt:variant>
        <vt:lpwstr/>
      </vt:variant>
      <vt:variant>
        <vt:lpwstr>_Toc503261814</vt:lpwstr>
      </vt:variant>
      <vt:variant>
        <vt:i4>1376312</vt:i4>
      </vt:variant>
      <vt:variant>
        <vt:i4>26</vt:i4>
      </vt:variant>
      <vt:variant>
        <vt:i4>0</vt:i4>
      </vt:variant>
      <vt:variant>
        <vt:i4>5</vt:i4>
      </vt:variant>
      <vt:variant>
        <vt:lpwstr/>
      </vt:variant>
      <vt:variant>
        <vt:lpwstr>_Toc503261813</vt:lpwstr>
      </vt:variant>
      <vt:variant>
        <vt:i4>1376312</vt:i4>
      </vt:variant>
      <vt:variant>
        <vt:i4>20</vt:i4>
      </vt:variant>
      <vt:variant>
        <vt:i4>0</vt:i4>
      </vt:variant>
      <vt:variant>
        <vt:i4>5</vt:i4>
      </vt:variant>
      <vt:variant>
        <vt:lpwstr/>
      </vt:variant>
      <vt:variant>
        <vt:lpwstr>_Toc503261812</vt:lpwstr>
      </vt:variant>
      <vt:variant>
        <vt:i4>1376312</vt:i4>
      </vt:variant>
      <vt:variant>
        <vt:i4>14</vt:i4>
      </vt:variant>
      <vt:variant>
        <vt:i4>0</vt:i4>
      </vt:variant>
      <vt:variant>
        <vt:i4>5</vt:i4>
      </vt:variant>
      <vt:variant>
        <vt:lpwstr/>
      </vt:variant>
      <vt:variant>
        <vt:lpwstr>_Toc503261811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wissenschaftliche Arbeiten</dc:title>
  <dc:subject/>
  <dc:creator>Holger Kächelein</dc:creator>
  <cp:keywords/>
  <dc:description>Viel Erfolg bei der Arbeit!</dc:description>
  <cp:lastModifiedBy>Klaus Meucht</cp:lastModifiedBy>
  <cp:revision>4</cp:revision>
  <cp:lastPrinted>2003-02-18T18:23:00Z</cp:lastPrinted>
  <dcterms:created xsi:type="dcterms:W3CDTF">2020-08-15T08:03:00Z</dcterms:created>
  <dcterms:modified xsi:type="dcterms:W3CDTF">2020-08-22T19:49:00Z</dcterms:modified>
</cp:coreProperties>
</file>