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7531" w14:textId="3AF46075" w:rsidR="00071041" w:rsidRDefault="00AA7D92" w:rsidP="00082739">
      <w:pPr>
        <w:pStyle w:val="berschrift1"/>
        <w:rPr>
          <w:noProof/>
        </w:rPr>
      </w:pPr>
      <w:r>
        <w:rPr>
          <w:noProof/>
        </w:rPr>
        <w:t>Ziele</w:t>
      </w:r>
    </w:p>
    <w:p w14:paraId="4C254C3C" w14:textId="6DFF8D6E" w:rsidR="00BA179F" w:rsidRDefault="00A0497D" w:rsidP="00A0497D">
      <w:pPr>
        <w:rPr>
          <w:b/>
          <w:bCs/>
        </w:rPr>
      </w:pPr>
      <w:r w:rsidRPr="00A0497D">
        <w:rPr>
          <w:b/>
          <w:bCs/>
        </w:rPr>
        <w:t>Schnittstellen beschreiben</w:t>
      </w:r>
    </w:p>
    <w:p w14:paraId="7FE1B875" w14:textId="116E5851" w:rsidR="00A0497D" w:rsidRDefault="00A0497D" w:rsidP="00A0497D">
      <w:pPr>
        <w:rPr>
          <w:b/>
          <w:bCs/>
        </w:rPr>
      </w:pPr>
    </w:p>
    <w:p w14:paraId="513EDFFC" w14:textId="77777777" w:rsidR="00A0497D" w:rsidRPr="00A0497D" w:rsidRDefault="00A0497D" w:rsidP="00A0497D">
      <w:pPr>
        <w:rPr>
          <w:b/>
          <w:bCs/>
        </w:rPr>
      </w:pPr>
    </w:p>
    <w:p w14:paraId="02F3F0DF" w14:textId="678FB883" w:rsidR="00BA179F" w:rsidRDefault="00A0497D" w:rsidP="00A0497D">
      <w:r>
        <w:t>Softwarearchitekten können sowohl interne als auch externe Schnittstellen beschreiben und spezifizieren</w:t>
      </w:r>
    </w:p>
    <w:p w14:paraId="4EA6F097" w14:textId="449D5995" w:rsidR="00BA179F" w:rsidRDefault="006F2CAF" w:rsidP="006F2CAF">
      <w:pPr>
        <w:pStyle w:val="berschrift1"/>
      </w:pPr>
      <w:r>
        <w:lastRenderedPageBreak/>
        <w:t>Dokumentation</w:t>
      </w:r>
      <w:r w:rsidR="009F146E">
        <w:t xml:space="preserve"> von Schnittstellen</w:t>
      </w:r>
    </w:p>
    <w:p w14:paraId="4DEF321C" w14:textId="6C622D8B" w:rsidR="00BA179F" w:rsidRDefault="00BA179F" w:rsidP="00BA179F"/>
    <w:p w14:paraId="3A89FAAD" w14:textId="5A628641" w:rsidR="006F2CAF" w:rsidRDefault="006F2CAF" w:rsidP="006F2CAF">
      <w:pPr>
        <w:rPr>
          <w:rFonts w:eastAsia="CorporateAPro-Regular"/>
        </w:rPr>
      </w:pPr>
    </w:p>
    <w:p w14:paraId="10C5496D" w14:textId="2621B419" w:rsidR="006F2CAF" w:rsidRDefault="009F146E" w:rsidP="006F2CAF">
      <w:pPr>
        <w:pStyle w:val="berschrift2"/>
        <w:rPr>
          <w:rFonts w:eastAsia="CorporateAPro-Regular"/>
        </w:rPr>
      </w:pPr>
      <w:r>
        <w:rPr>
          <w:rFonts w:eastAsia="CorporateAPro-Regular"/>
        </w:rPr>
        <w:t>Schnittstellen Template</w:t>
      </w:r>
    </w:p>
    <w:p w14:paraId="634E0CB1" w14:textId="4449BEC3" w:rsidR="00ED099E" w:rsidRDefault="00ED099E" w:rsidP="00ED099E">
      <w:pPr>
        <w:rPr>
          <w:rFonts w:eastAsia="CorporateAPro-Regular"/>
        </w:rPr>
      </w:pPr>
    </w:p>
    <w:p w14:paraId="1B175E4B" w14:textId="5AB37B3B" w:rsidR="00ED099E" w:rsidRDefault="009F146E" w:rsidP="00A269E6">
      <w:pPr>
        <w:pStyle w:val="berschrift2"/>
        <w:rPr>
          <w:rFonts w:eastAsia="CorporateAPro-Regular"/>
        </w:rPr>
      </w:pPr>
      <w:r>
        <w:rPr>
          <w:rFonts w:eastAsia="CorporateAPro-Regular"/>
        </w:rPr>
        <w:t>Schnittstellen mit UML darstellen</w:t>
      </w:r>
    </w:p>
    <w:p w14:paraId="44F9E883" w14:textId="3F401D43" w:rsidR="002D790B" w:rsidRDefault="002D790B" w:rsidP="002D790B">
      <w:pPr>
        <w:rPr>
          <w:rFonts w:eastAsia="CorporateAPro-Regular"/>
        </w:rPr>
      </w:pPr>
      <w:r>
        <w:rPr>
          <w:rFonts w:eastAsia="CorporateAPro-Regular"/>
        </w:rPr>
        <w:t xml:space="preserve">Bei der UML-Darstellung von Bausteinen haben Sie eine Reihe von Optionen (siehe Bild unten) für Schnittstellen </w:t>
      </w:r>
      <w:r>
        <w:rPr>
          <w:rFonts w:eastAsia="CorporateAPro-Regular" w:hint="eastAsia"/>
        </w:rPr>
        <w:t>–</w:t>
      </w:r>
      <w:r>
        <w:rPr>
          <w:rFonts w:eastAsia="CorporateAPro-Regular"/>
        </w:rPr>
        <w:t xml:space="preserve"> nachfolgend in der Reihenfolge der </w:t>
      </w:r>
      <w:r>
        <w:rPr>
          <w:rFonts w:eastAsia="CorporateAPro-Regular" w:hint="eastAsia"/>
        </w:rPr>
        <w:t>„</w:t>
      </w:r>
      <w:r>
        <w:rPr>
          <w:rFonts w:eastAsia="CorporateAPro-Regular"/>
        </w:rPr>
        <w:t>Gründlichkeit</w:t>
      </w:r>
      <w:r>
        <w:rPr>
          <w:rFonts w:eastAsia="CorporateAPro-Regular" w:hint="eastAsia"/>
        </w:rPr>
        <w:t>“</w:t>
      </w:r>
      <w:r>
        <w:rPr>
          <w:rFonts w:eastAsia="CorporateAPro-Regular"/>
        </w:rPr>
        <w:t xml:space="preserve"> und des damit verbundenen Aufwands erklärt:</w:t>
      </w:r>
    </w:p>
    <w:p w14:paraId="277F92A6" w14:textId="77777777" w:rsidR="002D790B" w:rsidRDefault="002D790B" w:rsidP="00D32F9A">
      <w:pPr>
        <w:numPr>
          <w:ilvl w:val="0"/>
          <w:numId w:val="3"/>
        </w:numPr>
        <w:rPr>
          <w:rFonts w:eastAsia="CorporateAPro-Regular"/>
        </w:rPr>
      </w:pPr>
      <w:r>
        <w:rPr>
          <w:rFonts w:eastAsia="CorporateAPro-Regular"/>
        </w:rPr>
        <w:t xml:space="preserve">Eine benannte und/oder gerichtete Verbindung zweier Bausteine sagt lediglich aus, dass </w:t>
      </w:r>
      <w:r w:rsidRPr="002D790B">
        <w:rPr>
          <w:rFonts w:eastAsia="CorporateAPro-Regular"/>
        </w:rPr>
        <w:t>es überhaupt eine Schnittstelle gibt.</w:t>
      </w:r>
    </w:p>
    <w:p w14:paraId="71C7607A" w14:textId="77777777" w:rsidR="002D790B" w:rsidRDefault="002D790B" w:rsidP="00D32F9A">
      <w:pPr>
        <w:numPr>
          <w:ilvl w:val="0"/>
          <w:numId w:val="3"/>
        </w:numPr>
        <w:rPr>
          <w:rFonts w:eastAsia="CorporateAPro-Regular"/>
        </w:rPr>
      </w:pPr>
      <w:r w:rsidRPr="002D790B">
        <w:rPr>
          <w:rFonts w:eastAsia="CorporateAPro-Regular"/>
        </w:rPr>
        <w:t>Ein Port-Symbol (kleines Viereck am Rande einer Komponente) gibt an, dass ein Baustein</w:t>
      </w:r>
      <w:r>
        <w:rPr>
          <w:rFonts w:eastAsia="CorporateAPro-Regular"/>
        </w:rPr>
        <w:t xml:space="preserve"> </w:t>
      </w:r>
      <w:r w:rsidRPr="002D790B">
        <w:rPr>
          <w:rFonts w:eastAsia="CorporateAPro-Regular"/>
        </w:rPr>
        <w:t xml:space="preserve">eine Schnittstelle besitzt </w:t>
      </w:r>
      <w:r w:rsidRPr="002D790B">
        <w:rPr>
          <w:rFonts w:eastAsia="CorporateAPro-Regular" w:hint="eastAsia"/>
        </w:rPr>
        <w:t>–</w:t>
      </w:r>
      <w:r w:rsidRPr="002D790B">
        <w:rPr>
          <w:rFonts w:eastAsia="CorporateAPro-Regular"/>
        </w:rPr>
        <w:t xml:space="preserve"> differenziert nicht zwischen Anbieten und Benötigen.</w:t>
      </w:r>
    </w:p>
    <w:p w14:paraId="2959F1C8" w14:textId="77777777" w:rsidR="002D790B" w:rsidRDefault="002D790B" w:rsidP="00D32F9A">
      <w:pPr>
        <w:numPr>
          <w:ilvl w:val="0"/>
          <w:numId w:val="3"/>
        </w:numPr>
        <w:rPr>
          <w:rFonts w:eastAsia="CorporateAPro-Regular"/>
        </w:rPr>
      </w:pPr>
      <w:r w:rsidRPr="002D790B">
        <w:rPr>
          <w:rFonts w:eastAsia="CorporateAPro-Regular"/>
        </w:rPr>
        <w:t>Ein Baustein referenziert einen Port: Dieser Baustein (intern in Bezug auf die umgebende</w:t>
      </w:r>
      <w:r>
        <w:rPr>
          <w:rFonts w:eastAsia="CorporateAPro-Regular"/>
        </w:rPr>
        <w:t xml:space="preserve"> </w:t>
      </w:r>
      <w:r w:rsidRPr="002D790B">
        <w:rPr>
          <w:rFonts w:eastAsia="CorporateAPro-Regular"/>
        </w:rPr>
        <w:t>Komponente) realisiert oder benötigt diese Schnittstelle.</w:t>
      </w:r>
    </w:p>
    <w:p w14:paraId="018DC5E5" w14:textId="77777777" w:rsidR="002D790B" w:rsidRDefault="002D790B" w:rsidP="00D32F9A">
      <w:pPr>
        <w:numPr>
          <w:ilvl w:val="0"/>
          <w:numId w:val="3"/>
        </w:numPr>
        <w:rPr>
          <w:rFonts w:eastAsia="CorporateAPro-Regular"/>
        </w:rPr>
      </w:pPr>
      <w:r w:rsidRPr="002D790B">
        <w:rPr>
          <w:rFonts w:eastAsia="CorporateAPro-Regular"/>
        </w:rPr>
        <w:t>Explizite Angabe von angebotener (</w:t>
      </w:r>
      <w:r w:rsidRPr="002D790B">
        <w:rPr>
          <w:rFonts w:eastAsia="CorporateAPro-Regular" w:hint="eastAsia"/>
        </w:rPr>
        <w:t>„</w:t>
      </w:r>
      <w:r w:rsidRPr="002D790B">
        <w:rPr>
          <w:rFonts w:eastAsia="CorporateAPro-Regular"/>
        </w:rPr>
        <w:t>Ball</w:t>
      </w:r>
      <w:r w:rsidRPr="002D790B">
        <w:rPr>
          <w:rFonts w:eastAsia="CorporateAPro-Regular" w:hint="eastAsia"/>
        </w:rPr>
        <w:t>“</w:t>
      </w:r>
      <w:r w:rsidRPr="002D790B">
        <w:rPr>
          <w:rFonts w:eastAsia="CorporateAPro-Regular"/>
        </w:rPr>
        <w:t>) und benötigter (</w:t>
      </w:r>
      <w:r w:rsidRPr="002D790B">
        <w:rPr>
          <w:rFonts w:eastAsia="CorporateAPro-Regular" w:hint="eastAsia"/>
        </w:rPr>
        <w:t>„</w:t>
      </w:r>
      <w:r w:rsidRPr="002D790B">
        <w:rPr>
          <w:rFonts w:eastAsia="CorporateAPro-Regular"/>
        </w:rPr>
        <w:t>Socket</w:t>
      </w:r>
      <w:r w:rsidRPr="002D790B">
        <w:rPr>
          <w:rFonts w:eastAsia="CorporateAPro-Regular" w:hint="eastAsia"/>
        </w:rPr>
        <w:t>“</w:t>
      </w:r>
      <w:r w:rsidRPr="002D790B">
        <w:rPr>
          <w:rFonts w:eastAsia="CorporateAPro-Regular"/>
        </w:rPr>
        <w:t xml:space="preserve">) Schnittstelle </w:t>
      </w:r>
      <w:r w:rsidRPr="002D790B">
        <w:rPr>
          <w:rFonts w:eastAsia="CorporateAPro-Regular" w:hint="eastAsia"/>
        </w:rPr>
        <w:t>–</w:t>
      </w:r>
      <w:r w:rsidRPr="002D790B">
        <w:rPr>
          <w:rFonts w:eastAsia="CorporateAPro-Regular"/>
        </w:rPr>
        <w:t xml:space="preserve"> mit</w:t>
      </w:r>
      <w:r>
        <w:rPr>
          <w:rFonts w:eastAsia="CorporateAPro-Regular"/>
        </w:rPr>
        <w:t xml:space="preserve"> </w:t>
      </w:r>
      <w:r w:rsidRPr="002D790B">
        <w:rPr>
          <w:rFonts w:eastAsia="CorporateAPro-Regular"/>
        </w:rPr>
        <w:t>(optional benannter) Beziehung dazwischen. Hierbei ist die Schnittstelle ein eigenständiges</w:t>
      </w:r>
      <w:r>
        <w:rPr>
          <w:rFonts w:eastAsia="CorporateAPro-Regular"/>
        </w:rPr>
        <w:t xml:space="preserve"> </w:t>
      </w:r>
      <w:r w:rsidRPr="002D790B">
        <w:rPr>
          <w:rFonts w:eastAsia="CorporateAPro-Regular"/>
        </w:rPr>
        <w:t>Modellierungselement mit (beliebig genauer) Beschreibung.</w:t>
      </w:r>
    </w:p>
    <w:p w14:paraId="328B64C5" w14:textId="732E16E7" w:rsidR="002D790B" w:rsidRDefault="002D790B" w:rsidP="00D32F9A">
      <w:pPr>
        <w:numPr>
          <w:ilvl w:val="0"/>
          <w:numId w:val="3"/>
        </w:numPr>
        <w:rPr>
          <w:rFonts w:eastAsia="CorporateAPro-Regular"/>
        </w:rPr>
      </w:pPr>
      <w:r w:rsidRPr="002D790B">
        <w:rPr>
          <w:rFonts w:eastAsia="CorporateAPro-Regular"/>
        </w:rPr>
        <w:t>Explizite Ball- und Socket-Notation in Kombination mit Ports: Hier können Sie bei Bedarf</w:t>
      </w:r>
      <w:r>
        <w:rPr>
          <w:rFonts w:eastAsia="CorporateAPro-Regular"/>
        </w:rPr>
        <w:t xml:space="preserve"> </w:t>
      </w:r>
      <w:r w:rsidRPr="002D790B">
        <w:rPr>
          <w:rFonts w:eastAsia="CorporateAPro-Regular"/>
        </w:rPr>
        <w:t>sogar die Schnittstellen noch Kommunikationswegen oder Technologien zuordnen.</w:t>
      </w:r>
    </w:p>
    <w:p w14:paraId="4A3196E0" w14:textId="6B75EC0F" w:rsidR="006F13DB" w:rsidRDefault="006F13DB" w:rsidP="006F13DB">
      <w:pPr>
        <w:rPr>
          <w:rFonts w:eastAsia="CorporateAPro-Regular"/>
        </w:rPr>
      </w:pPr>
    </w:p>
    <w:p w14:paraId="5EB26A2C" w14:textId="77777777" w:rsidR="006F13DB" w:rsidRDefault="00A0497D" w:rsidP="006F13DB">
      <w:pPr>
        <w:keepNext/>
      </w:pPr>
      <w:r>
        <w:rPr>
          <w:noProof/>
        </w:rPr>
        <w:pict w14:anchorId="1FA75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425.4pt;height:269.4pt;visibility:visible;mso-wrap-style:square">
            <v:imagedata r:id="rId7" o:title=""/>
          </v:shape>
        </w:pict>
      </w:r>
    </w:p>
    <w:p w14:paraId="25EDEFBD" w14:textId="76F05C4B" w:rsidR="006F13DB" w:rsidRDefault="006F13DB" w:rsidP="006F13DB">
      <w:pPr>
        <w:pStyle w:val="Beschriftung"/>
      </w:pPr>
      <w:r>
        <w:t xml:space="preserve">Abbildung </w:t>
      </w:r>
      <w:r w:rsidR="00083CFB">
        <w:fldChar w:fldCharType="begin"/>
      </w:r>
      <w:r w:rsidR="00083CFB">
        <w:instrText xml:space="preserve"> SEQ Abbildung \* ARABIC </w:instrText>
      </w:r>
      <w:r w:rsidR="00083CFB">
        <w:fldChar w:fldCharType="separate"/>
      </w:r>
      <w:r w:rsidR="00A0497D">
        <w:rPr>
          <w:noProof/>
        </w:rPr>
        <w:t>1</w:t>
      </w:r>
      <w:r w:rsidR="00083CFB">
        <w:rPr>
          <w:noProof/>
        </w:rPr>
        <w:fldChar w:fldCharType="end"/>
      </w:r>
      <w:r>
        <w:t xml:space="preserve"> Optionen für Schnittstellen in UML</w:t>
      </w:r>
    </w:p>
    <w:p w14:paraId="444CFB7E" w14:textId="77777777" w:rsidR="00F04CBD" w:rsidRDefault="00F04CBD" w:rsidP="00F04CBD">
      <w:pPr>
        <w:rPr>
          <w:rFonts w:eastAsia="CorporateSPro-Bold"/>
          <w:b/>
          <w:bCs/>
        </w:rPr>
      </w:pPr>
    </w:p>
    <w:p w14:paraId="68D3BC2F" w14:textId="77777777" w:rsidR="00F04CBD" w:rsidRDefault="00F04CBD" w:rsidP="00F04CBD">
      <w:pPr>
        <w:rPr>
          <w:rFonts w:eastAsia="CorporateSPro-Bold"/>
          <w:b/>
          <w:bCs/>
        </w:rPr>
      </w:pPr>
    </w:p>
    <w:p w14:paraId="60D548DA" w14:textId="5858FC4B" w:rsidR="006F13DB" w:rsidRPr="00F04CBD" w:rsidRDefault="006F13DB" w:rsidP="00F04CBD">
      <w:pPr>
        <w:rPr>
          <w:rFonts w:eastAsia="CorporateSPro-Bold"/>
          <w:b/>
          <w:bCs/>
        </w:rPr>
      </w:pPr>
      <w:r w:rsidRPr="00F04CBD">
        <w:rPr>
          <w:rFonts w:eastAsia="CorporateSPro-Bold"/>
          <w:b/>
          <w:bCs/>
        </w:rPr>
        <w:lastRenderedPageBreak/>
        <w:t>Einige Tipps zur Modellierung von Schnittstellen mit UML:</w:t>
      </w:r>
    </w:p>
    <w:p w14:paraId="76C14C96" w14:textId="77777777" w:rsidR="006F13DB" w:rsidRDefault="006F13DB" w:rsidP="006F13DB">
      <w:pPr>
        <w:autoSpaceDE w:val="0"/>
        <w:autoSpaceDN w:val="0"/>
        <w:adjustRightInd w:val="0"/>
        <w:rPr>
          <w:rFonts w:ascii="CorporateSPro-Bold" w:eastAsia="CorporateSPro-Bold" w:cs="CorporateSPro-Bold"/>
          <w:b/>
          <w:bCs/>
          <w:color w:val="000000"/>
          <w:sz w:val="19"/>
          <w:szCs w:val="19"/>
        </w:rPr>
      </w:pPr>
    </w:p>
    <w:p w14:paraId="5BFF5D4D" w14:textId="77777777" w:rsidR="00F04CBD" w:rsidRDefault="006F13DB" w:rsidP="00D32F9A">
      <w:pPr>
        <w:numPr>
          <w:ilvl w:val="0"/>
          <w:numId w:val="4"/>
        </w:numPr>
        <w:rPr>
          <w:rFonts w:ascii="CorporateSPro-Bold" w:eastAsia="CorporateSPro-Bold" w:cs="CorporateSPro-Bold"/>
          <w:b/>
          <w:bCs/>
        </w:rPr>
      </w:pPr>
      <w:r>
        <w:rPr>
          <w:rFonts w:eastAsia="CorporateSPro-Bold"/>
        </w:rPr>
        <w:t>Beginnen Sie sparsam mit der gerichteten und benannten Verbindung von</w:t>
      </w:r>
      <w:r>
        <w:rPr>
          <w:rFonts w:ascii="CorporateSPro-Bold" w:eastAsia="CorporateSPro-Bold" w:cs="CorporateSPro-Bold"/>
          <w:b/>
          <w:bCs/>
        </w:rPr>
        <w:t xml:space="preserve"> </w:t>
      </w:r>
      <w:r w:rsidRPr="006F13DB">
        <w:rPr>
          <w:rFonts w:eastAsia="CorporateSPro-Bold"/>
        </w:rPr>
        <w:t>Bausteinen. Nur wenn Sie mehr Details benötigen, führen Sie Ball-/Socket-</w:t>
      </w:r>
      <w:r>
        <w:rPr>
          <w:rFonts w:ascii="CorporateSPro-Bold" w:eastAsia="CorporateSPro-Bold" w:cs="CorporateSPro-Bold"/>
          <w:b/>
          <w:bCs/>
        </w:rPr>
        <w:t xml:space="preserve"> </w:t>
      </w:r>
      <w:r w:rsidRPr="006F13DB">
        <w:rPr>
          <w:rFonts w:eastAsia="CorporateSPro-Bold"/>
        </w:rPr>
        <w:t>Elemente ein.</w:t>
      </w:r>
    </w:p>
    <w:p w14:paraId="4A1829C9" w14:textId="4BF39DF3" w:rsidR="006F13DB" w:rsidRPr="00F04CBD" w:rsidRDefault="006F13DB" w:rsidP="00D32F9A">
      <w:pPr>
        <w:numPr>
          <w:ilvl w:val="0"/>
          <w:numId w:val="4"/>
        </w:numPr>
        <w:rPr>
          <w:rFonts w:ascii="CorporateSPro-Bold" w:eastAsia="CorporateSPro-Bold" w:cs="CorporateSPro-Bold"/>
          <w:b/>
          <w:bCs/>
        </w:rPr>
      </w:pPr>
      <w:r w:rsidRPr="00F04CBD">
        <w:rPr>
          <w:rFonts w:eastAsia="CorporateSPro-Bold"/>
        </w:rPr>
        <w:t>Falls mehrere Teams unabhängig voneinander an Bausteinen arbeiten, die eine</w:t>
      </w:r>
      <w:r w:rsidRPr="00F04CBD">
        <w:rPr>
          <w:rFonts w:ascii="CorporateSPro-Bold" w:eastAsia="CorporateSPro-Bold" w:cs="CorporateSPro-Bold"/>
          <w:b/>
          <w:bCs/>
        </w:rPr>
        <w:t xml:space="preserve"> </w:t>
      </w:r>
      <w:r w:rsidRPr="00F04CBD">
        <w:rPr>
          <w:rFonts w:eastAsia="CorporateSPro-Bold"/>
        </w:rPr>
        <w:t>gemeinsame Schnittstelle besitzen: Machen Sie diese Schnittstelle zu einem</w:t>
      </w:r>
      <w:r w:rsidRPr="00F04CBD">
        <w:rPr>
          <w:rFonts w:ascii="CorporateSPro-Bold" w:eastAsia="CorporateSPro-Bold" w:cs="CorporateSPro-Bold"/>
          <w:b/>
          <w:bCs/>
        </w:rPr>
        <w:t xml:space="preserve"> </w:t>
      </w:r>
      <w:r w:rsidRPr="00F04CBD">
        <w:rPr>
          <w:rFonts w:eastAsia="CorporateSPro-Bold"/>
        </w:rPr>
        <w:t>„first-order-citizen“ und investieren Sie in „exakte“ Darstellung. Verwenden Sie</w:t>
      </w:r>
      <w:r w:rsidR="00F04CBD" w:rsidRPr="00F04CBD">
        <w:rPr>
          <w:rFonts w:ascii="CorporateSPro-Bold" w:eastAsia="CorporateSPro-Bold" w:cs="CorporateSPro-Bold"/>
          <w:b/>
          <w:bCs/>
        </w:rPr>
        <w:t xml:space="preserve"> </w:t>
      </w:r>
      <w:r w:rsidRPr="00F04CBD">
        <w:rPr>
          <w:rFonts w:eastAsia="CorporateSPro-Bold"/>
        </w:rPr>
        <w:t>(mindestens) Ball-/Socket-Notation.</w:t>
      </w:r>
    </w:p>
    <w:p w14:paraId="049D3322" w14:textId="77777777" w:rsidR="00F04CBD" w:rsidRDefault="00F04CBD" w:rsidP="00F04CBD">
      <w:pPr>
        <w:autoSpaceDE w:val="0"/>
        <w:autoSpaceDN w:val="0"/>
        <w:adjustRightInd w:val="0"/>
        <w:rPr>
          <w:rFonts w:ascii="CorporateSPro-Regular" w:eastAsia="CorporateSPro-Bold" w:hAnsi="CorporateSPro-Regular" w:cs="CorporateSPro-Regular"/>
          <w:color w:val="000000"/>
          <w:sz w:val="19"/>
          <w:szCs w:val="19"/>
        </w:rPr>
      </w:pPr>
    </w:p>
    <w:p w14:paraId="6104CF4E" w14:textId="2E40BCF1" w:rsidR="006F13DB" w:rsidRPr="00F04CBD" w:rsidRDefault="006F13DB" w:rsidP="00F04CBD">
      <w:pPr>
        <w:autoSpaceDE w:val="0"/>
        <w:autoSpaceDN w:val="0"/>
        <w:adjustRightInd w:val="0"/>
        <w:rPr>
          <w:rFonts w:ascii="CorporateSPro-Regular" w:eastAsia="CorporateSPro-Bold" w:hAnsi="CorporateSPro-Regular" w:cs="CorporateSPro-Regular"/>
          <w:color w:val="000000"/>
          <w:sz w:val="19"/>
          <w:szCs w:val="19"/>
        </w:rPr>
      </w:pPr>
      <w:r>
        <w:rPr>
          <w:rFonts w:ascii="CorporateSPro-Regular" w:eastAsia="CorporateSPro-Bold" w:hAnsi="CorporateSPro-Regular" w:cs="CorporateSPro-Regular"/>
          <w:color w:val="000000"/>
          <w:sz w:val="19"/>
          <w:szCs w:val="19"/>
        </w:rPr>
        <w:t>Ergänzen Sie UML-Dokumentation an komplexen oder aufwendigen Schnittstellen</w:t>
      </w:r>
      <w:r w:rsidR="00F04CBD">
        <w:rPr>
          <w:rFonts w:ascii="CorporateSPro-Regular" w:eastAsia="CorporateSPro-Bold" w:hAnsi="CorporateSPro-Regular" w:cs="CorporateSPro-Regular"/>
          <w:color w:val="000000"/>
          <w:sz w:val="19"/>
          <w:szCs w:val="19"/>
        </w:rPr>
        <w:t xml:space="preserve"> </w:t>
      </w:r>
      <w:r>
        <w:rPr>
          <w:rFonts w:ascii="CorporateSPro-Regular" w:eastAsia="CorporateSPro-Bold" w:hAnsi="CorporateSPro-Regular" w:cs="CorporateSPro-Regular"/>
          <w:color w:val="000000"/>
          <w:sz w:val="19"/>
          <w:szCs w:val="19"/>
        </w:rPr>
        <w:t>immer um Beispielcode,</w:t>
      </w:r>
      <w:r w:rsidR="00F04CBD">
        <w:rPr>
          <w:rFonts w:ascii="CorporateSPro-Regular" w:eastAsia="CorporateSPro-Bold" w:hAnsi="CorporateSPro-Regular" w:cs="CorporateSPro-Regular"/>
          <w:color w:val="000000"/>
          <w:sz w:val="19"/>
          <w:szCs w:val="19"/>
        </w:rPr>
        <w:t xml:space="preserve"> </w:t>
      </w:r>
      <w:r>
        <w:rPr>
          <w:rFonts w:ascii="CorporateSPro-Regular" w:eastAsia="CorporateSPro-Bold" w:hAnsi="CorporateSPro-Regular" w:cs="CorporateSPro-Regular"/>
          <w:color w:val="000000"/>
          <w:sz w:val="19"/>
          <w:szCs w:val="19"/>
        </w:rPr>
        <w:t>der die Initialisierung und Benutzung der Schnittstelle</w:t>
      </w:r>
      <w:r w:rsidR="00F04CBD">
        <w:rPr>
          <w:rFonts w:ascii="CorporateSPro-Regular" w:eastAsia="CorporateSPro-Bold" w:hAnsi="CorporateSPro-Regular" w:cs="CorporateSPro-Regular"/>
          <w:color w:val="000000"/>
          <w:sz w:val="19"/>
          <w:szCs w:val="19"/>
        </w:rPr>
        <w:t xml:space="preserve"> </w:t>
      </w:r>
      <w:r>
        <w:rPr>
          <w:rFonts w:ascii="CorporateSPro-Regular" w:eastAsia="CorporateSPro-Bold" w:hAnsi="CorporateSPro-Regular" w:cs="CorporateSPro-Regular"/>
          <w:color w:val="000000"/>
          <w:sz w:val="19"/>
          <w:szCs w:val="19"/>
        </w:rPr>
        <w:t>genau aufzeigt.</w:t>
      </w:r>
    </w:p>
    <w:p w14:paraId="3D669C41" w14:textId="2485396A" w:rsidR="007B6589" w:rsidRDefault="007B6589" w:rsidP="00A269E6"/>
    <w:p w14:paraId="25F85C25" w14:textId="13CEB062" w:rsidR="007B6589" w:rsidRDefault="007B6589" w:rsidP="00A269E6">
      <w:r>
        <w:t>Quelle: Effektive Softwarearchitektur 8. Auflage Kapitel 5.</w:t>
      </w:r>
      <w:r w:rsidR="009F146E">
        <w:t>9</w:t>
      </w:r>
    </w:p>
    <w:p w14:paraId="2AE889F9" w14:textId="77777777" w:rsidR="00ED099E" w:rsidRPr="006F2CAF" w:rsidRDefault="00ED099E" w:rsidP="00ED099E"/>
    <w:p w14:paraId="130ED598" w14:textId="77777777" w:rsidR="00BA179F" w:rsidRPr="00BA179F" w:rsidRDefault="00BA179F" w:rsidP="00BA179F">
      <w:pPr>
        <w:pStyle w:val="Grundtext"/>
      </w:pPr>
    </w:p>
    <w:p w14:paraId="74CBA0D1" w14:textId="42E579EC" w:rsidR="00FC2183" w:rsidRDefault="00FC2183" w:rsidP="006556CC"/>
    <w:p w14:paraId="20F0367B" w14:textId="6359208E" w:rsidR="00A0497D" w:rsidRDefault="00A0497D">
      <w:pPr>
        <w:pStyle w:val="berschrift1"/>
      </w:pPr>
      <w:r>
        <w:lastRenderedPageBreak/>
        <w:t>Darstellung von Schnittstellen</w:t>
      </w:r>
    </w:p>
    <w:p w14:paraId="412048BC" w14:textId="77777777" w:rsidR="00A0497D" w:rsidRDefault="00A0497D" w:rsidP="00A0497D">
      <w:pPr>
        <w:pStyle w:val="Grundtext"/>
        <w:keepNext/>
      </w:pPr>
      <w:r w:rsidRPr="009A0061">
        <w:rPr>
          <w:noProof/>
        </w:rPr>
        <w:pict w14:anchorId="0781DF9A">
          <v:shape id="_x0000_i1027" type="#_x0000_t75" style="width:425.4pt;height:173.4pt;visibility:visible;mso-wrap-style:square">
            <v:imagedata r:id="rId8" o:title=""/>
          </v:shape>
        </w:pict>
      </w:r>
    </w:p>
    <w:p w14:paraId="6D42DEF2" w14:textId="63FCA5A0" w:rsidR="00A0497D" w:rsidRDefault="00A0497D" w:rsidP="00A0497D">
      <w:pPr>
        <w:pStyle w:val="Beschriftung"/>
        <w:jc w:val="both"/>
      </w:pPr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 xml:space="preserve"> Verschiedene Arten der Schnittstellendarstellung</w:t>
      </w:r>
    </w:p>
    <w:p w14:paraId="6E6AE2DC" w14:textId="7C9A18DB" w:rsidR="00A0497D" w:rsidRPr="00A0497D" w:rsidRDefault="00A0497D" w:rsidP="00A0497D">
      <w:r>
        <w:t>Quelle Effektive Softwarearchitekturen, 8. Auflage, Kapitel 6.2.3</w:t>
      </w:r>
    </w:p>
    <w:sectPr w:rsidR="00A0497D" w:rsidRPr="00A0497D">
      <w:headerReference w:type="default" r:id="rId9"/>
      <w:headerReference w:type="first" r:id="rId10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7DE51" w14:textId="77777777" w:rsidR="00083CFB" w:rsidRDefault="00083CFB">
      <w:r>
        <w:separator/>
      </w:r>
    </w:p>
  </w:endnote>
  <w:endnote w:type="continuationSeparator" w:id="0">
    <w:p w14:paraId="0CB34D26" w14:textId="77777777" w:rsidR="00083CFB" w:rsidRDefault="0008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rateA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rporateS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rporate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2BBF1" w14:textId="77777777" w:rsidR="00083CFB" w:rsidRDefault="00083CFB">
      <w:r>
        <w:separator/>
      </w:r>
    </w:p>
  </w:footnote>
  <w:footnote w:type="continuationSeparator" w:id="0">
    <w:p w14:paraId="5EC4654F" w14:textId="77777777" w:rsidR="00083CFB" w:rsidRDefault="00083CFB">
      <w:r>
        <w:continuationSeparator/>
      </w:r>
    </w:p>
  </w:footnote>
  <w:footnote w:type="continuationNotice" w:id="1">
    <w:p w14:paraId="63254CF4" w14:textId="77777777" w:rsidR="00083CFB" w:rsidRDefault="00083CFB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3E1EE9" w:rsidRDefault="003E1EE9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689"/>
      <w:gridCol w:w="4159"/>
      <w:gridCol w:w="1873"/>
    </w:tblGrid>
    <w:tr w:rsidR="00D625AB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3E1EE9" w:rsidRPr="00F63078" w:rsidRDefault="003E1EE9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38F5CB09" w:rsidR="003E1EE9" w:rsidRPr="00F63078" w:rsidRDefault="00D625AB" w:rsidP="00AA7D92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Schnittstellen</w:t>
          </w:r>
        </w:p>
      </w:tc>
      <w:tc>
        <w:tcPr>
          <w:tcW w:w="1307" w:type="dxa"/>
          <w:shd w:val="clear" w:color="auto" w:fill="auto"/>
        </w:tcPr>
        <w:p w14:paraId="2BB05488" w14:textId="77777777" w:rsidR="003E1EE9" w:rsidRDefault="00083CFB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2.8pt;height:36.6pt">
                <v:imagedata r:id="rId1" o:title="cocodilNeu"/>
              </v:shape>
            </w:pict>
          </w:r>
        </w:p>
      </w:tc>
    </w:tr>
  </w:tbl>
  <w:p w14:paraId="082AB60F" w14:textId="77777777" w:rsidR="003E1EE9" w:rsidRDefault="003E1EE9">
    <w:pPr>
      <w:pStyle w:val="Kopfzeile"/>
    </w:pPr>
  </w:p>
  <w:p w14:paraId="69971B56" w14:textId="77777777" w:rsidR="003E1EE9" w:rsidRDefault="003E1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3E1EE9" w:rsidRDefault="003E1EE9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119F4337"/>
    <w:multiLevelType w:val="hybridMultilevel"/>
    <w:tmpl w:val="91866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6BAE"/>
    <w:multiLevelType w:val="hybridMultilevel"/>
    <w:tmpl w:val="8D046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030FE2"/>
    <w:rsid w:val="00071041"/>
    <w:rsid w:val="00082739"/>
    <w:rsid w:val="00083CFB"/>
    <w:rsid w:val="000A4CEC"/>
    <w:rsid w:val="00127ED3"/>
    <w:rsid w:val="00152118"/>
    <w:rsid w:val="00154144"/>
    <w:rsid w:val="001566A3"/>
    <w:rsid w:val="001A009E"/>
    <w:rsid w:val="00234D17"/>
    <w:rsid w:val="00242BEC"/>
    <w:rsid w:val="00243DA2"/>
    <w:rsid w:val="0025026B"/>
    <w:rsid w:val="00293348"/>
    <w:rsid w:val="002D4C5A"/>
    <w:rsid w:val="002D790B"/>
    <w:rsid w:val="002E2C87"/>
    <w:rsid w:val="003143D7"/>
    <w:rsid w:val="00332625"/>
    <w:rsid w:val="003620A3"/>
    <w:rsid w:val="00365264"/>
    <w:rsid w:val="00381148"/>
    <w:rsid w:val="00395D3D"/>
    <w:rsid w:val="003E1EE9"/>
    <w:rsid w:val="004370A9"/>
    <w:rsid w:val="00466CDD"/>
    <w:rsid w:val="00473AE8"/>
    <w:rsid w:val="00496D47"/>
    <w:rsid w:val="004A305F"/>
    <w:rsid w:val="004E4804"/>
    <w:rsid w:val="00552EE3"/>
    <w:rsid w:val="005C2DD0"/>
    <w:rsid w:val="005D55F4"/>
    <w:rsid w:val="0062666C"/>
    <w:rsid w:val="0065326A"/>
    <w:rsid w:val="006556CC"/>
    <w:rsid w:val="00692E92"/>
    <w:rsid w:val="00693A53"/>
    <w:rsid w:val="006F13DB"/>
    <w:rsid w:val="006F2CAF"/>
    <w:rsid w:val="006F6332"/>
    <w:rsid w:val="00705FB0"/>
    <w:rsid w:val="007145BA"/>
    <w:rsid w:val="0076589F"/>
    <w:rsid w:val="007772BE"/>
    <w:rsid w:val="007A0BD5"/>
    <w:rsid w:val="007B6589"/>
    <w:rsid w:val="008153A3"/>
    <w:rsid w:val="0083304A"/>
    <w:rsid w:val="008349F7"/>
    <w:rsid w:val="00855786"/>
    <w:rsid w:val="00871608"/>
    <w:rsid w:val="0087489A"/>
    <w:rsid w:val="00880098"/>
    <w:rsid w:val="00927967"/>
    <w:rsid w:val="00927A13"/>
    <w:rsid w:val="0094555B"/>
    <w:rsid w:val="00954920"/>
    <w:rsid w:val="00973944"/>
    <w:rsid w:val="0097466E"/>
    <w:rsid w:val="009E24B3"/>
    <w:rsid w:val="009F146E"/>
    <w:rsid w:val="00A0497D"/>
    <w:rsid w:val="00A269E6"/>
    <w:rsid w:val="00AA7D92"/>
    <w:rsid w:val="00AC3AE2"/>
    <w:rsid w:val="00AF1A0A"/>
    <w:rsid w:val="00B13874"/>
    <w:rsid w:val="00B21C08"/>
    <w:rsid w:val="00B52268"/>
    <w:rsid w:val="00B56E20"/>
    <w:rsid w:val="00B914D5"/>
    <w:rsid w:val="00BA179F"/>
    <w:rsid w:val="00BD22DF"/>
    <w:rsid w:val="00BD32EC"/>
    <w:rsid w:val="00BD736A"/>
    <w:rsid w:val="00C11986"/>
    <w:rsid w:val="00C12955"/>
    <w:rsid w:val="00C436AE"/>
    <w:rsid w:val="00C54226"/>
    <w:rsid w:val="00C61926"/>
    <w:rsid w:val="00C72D87"/>
    <w:rsid w:val="00C86746"/>
    <w:rsid w:val="00CE7FBB"/>
    <w:rsid w:val="00CF1EE2"/>
    <w:rsid w:val="00D0598F"/>
    <w:rsid w:val="00D32F9A"/>
    <w:rsid w:val="00D34C2A"/>
    <w:rsid w:val="00D60EBD"/>
    <w:rsid w:val="00D625AB"/>
    <w:rsid w:val="00D71A31"/>
    <w:rsid w:val="00D8088E"/>
    <w:rsid w:val="00DF6BDC"/>
    <w:rsid w:val="00E01163"/>
    <w:rsid w:val="00E10FD5"/>
    <w:rsid w:val="00E25339"/>
    <w:rsid w:val="00E308F3"/>
    <w:rsid w:val="00E8471D"/>
    <w:rsid w:val="00ED099E"/>
    <w:rsid w:val="00EE67EF"/>
    <w:rsid w:val="00EF6520"/>
    <w:rsid w:val="00F04CBD"/>
    <w:rsid w:val="00F125D6"/>
    <w:rsid w:val="00F4590D"/>
    <w:rsid w:val="00F613F9"/>
    <w:rsid w:val="00F63078"/>
    <w:rsid w:val="00F7446E"/>
    <w:rsid w:val="00FA45AA"/>
    <w:rsid w:val="00FB4BAB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4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2273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5</cp:revision>
  <cp:lastPrinted>2003-02-18T18:23:00Z</cp:lastPrinted>
  <dcterms:created xsi:type="dcterms:W3CDTF">2020-09-12T10:50:00Z</dcterms:created>
  <dcterms:modified xsi:type="dcterms:W3CDTF">2020-09-15T04:29:00Z</dcterms:modified>
</cp:coreProperties>
</file>